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01" w:rsidRPr="00C23801" w:rsidRDefault="00C23801" w:rsidP="00C23801">
      <w:pPr>
        <w:ind w:firstLine="709"/>
        <w:jc w:val="both"/>
        <w:rPr>
          <w:b/>
          <w:sz w:val="28"/>
          <w:szCs w:val="28"/>
        </w:rPr>
      </w:pPr>
      <w:r w:rsidRPr="00C23801">
        <w:rPr>
          <w:b/>
          <w:sz w:val="28"/>
          <w:szCs w:val="28"/>
        </w:rPr>
        <w:t xml:space="preserve">Тема 5 Национальные и международные режимы внешнеторговой </w:t>
      </w:r>
    </w:p>
    <w:p w:rsidR="00C23801" w:rsidRPr="00C23801" w:rsidRDefault="00C23801" w:rsidP="00C23801">
      <w:pPr>
        <w:jc w:val="both"/>
        <w:rPr>
          <w:b/>
          <w:sz w:val="28"/>
          <w:szCs w:val="28"/>
        </w:rPr>
      </w:pPr>
      <w:r w:rsidRPr="00C23801">
        <w:rPr>
          <w:b/>
          <w:sz w:val="28"/>
          <w:szCs w:val="28"/>
        </w:rPr>
        <w:t>деятельности</w:t>
      </w:r>
    </w:p>
    <w:p w:rsidR="00C23801" w:rsidRPr="00C23801" w:rsidRDefault="00C23801" w:rsidP="00C23801">
      <w:pPr>
        <w:ind w:firstLine="709"/>
        <w:jc w:val="both"/>
        <w:rPr>
          <w:sz w:val="28"/>
          <w:szCs w:val="28"/>
        </w:rPr>
      </w:pPr>
    </w:p>
    <w:p w:rsidR="00C23801" w:rsidRPr="00C23801" w:rsidRDefault="00C23801" w:rsidP="00C23801">
      <w:pPr>
        <w:ind w:firstLine="709"/>
        <w:jc w:val="both"/>
        <w:rPr>
          <w:sz w:val="28"/>
          <w:szCs w:val="28"/>
        </w:rPr>
      </w:pPr>
      <w:r w:rsidRPr="00C23801">
        <w:rPr>
          <w:sz w:val="28"/>
          <w:szCs w:val="28"/>
        </w:rPr>
        <w:t>Сущность и составляющие национального режима внешнеторговой деятельности. Принцип свободной торговли и национальные интересы. Свобода торговли и протекционизм. Формы протекционизма. Режим наибольшего благоприятствования. Правовой режим и его законодательная база. Национальные обычаи. Коррупция.</w:t>
      </w:r>
    </w:p>
    <w:p w:rsidR="00C23801" w:rsidRPr="00C23801" w:rsidRDefault="00C23801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  <w:r w:rsidRPr="00C23801">
        <w:rPr>
          <w:szCs w:val="28"/>
        </w:rPr>
        <w:t xml:space="preserve">Правовые режимы в международной торговле. Цели и задачи регулирования международной торговли. Средства регулирования международной торговли. Межгосударственное и национальное регулирование. Функции, задачи и роль двухсторонних межправительственных договоров по торгово-экономическому сотрудничеству в формировании режимов наибольшего благоприятствования. Региональные и международные режимы внешнеторговой деятельности. Регионализация торгово-экономических отношений. Региональные соглашения и международные договоры по взаимной торговле. </w:t>
      </w:r>
    </w:p>
    <w:p w:rsidR="00C23801" w:rsidRPr="00C23801" w:rsidRDefault="00C23801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  <w:r w:rsidRPr="00C23801">
        <w:rPr>
          <w:szCs w:val="28"/>
        </w:rPr>
        <w:t xml:space="preserve">Глобализация и регионализация внешнего рынка. Формы интеграции государств с целью либерализации международной торговли. Таможенные союзы. Перспективы таможенного союза Беларуси, России и Казахстана. Экономические союзы. Европейский союз как субъект мирового рынка. Цели и участники Евразийского экономического союза (ЕАЭС). ЕАЭС и его роль в развитии </w:t>
      </w:r>
      <w:proofErr w:type="spellStart"/>
      <w:r w:rsidRPr="00C23801">
        <w:rPr>
          <w:szCs w:val="28"/>
        </w:rPr>
        <w:t>межстрановой</w:t>
      </w:r>
      <w:proofErr w:type="spellEnd"/>
      <w:r w:rsidRPr="00C23801">
        <w:rPr>
          <w:szCs w:val="28"/>
        </w:rPr>
        <w:t xml:space="preserve"> и международной торговли. Особенности осуществления внешней торговли в условиях регионализации и экономической интеграции государств. Условия осуществления внешнеторговой деятельности с Россией, странами таможенного союза, Европейского союза (ЕС), </w:t>
      </w:r>
      <w:proofErr w:type="spellStart"/>
      <w:r w:rsidRPr="00C23801">
        <w:rPr>
          <w:szCs w:val="28"/>
        </w:rPr>
        <w:t>ЕврАзЭС</w:t>
      </w:r>
      <w:proofErr w:type="spellEnd"/>
      <w:r w:rsidRPr="00C23801">
        <w:rPr>
          <w:szCs w:val="28"/>
        </w:rPr>
        <w:t>, странами СНГ, другими странами. Глобализация экономики и стратегическое партнёрство во внешней торговле.</w:t>
      </w:r>
    </w:p>
    <w:p w:rsidR="00C23801" w:rsidRDefault="00C23801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  <w:r w:rsidRPr="00C23801">
        <w:rPr>
          <w:szCs w:val="28"/>
        </w:rPr>
        <w:t>Приграничная и трансграничная торговля. Особенности трансграничной торговли. Формы организации трансграничной торговли. Программы развития торгово-экономических отношений между ре</w:t>
      </w:r>
      <w:r w:rsidR="00491C48">
        <w:rPr>
          <w:szCs w:val="28"/>
        </w:rPr>
        <w:t>гионами и городами-побратимами.</w:t>
      </w:r>
    </w:p>
    <w:p w:rsidR="00491C48" w:rsidRDefault="00491C48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</w:p>
    <w:p w:rsidR="00B65A07" w:rsidRDefault="00B65A07">
      <w:pPr>
        <w:rPr>
          <w:sz w:val="28"/>
          <w:szCs w:val="28"/>
        </w:rPr>
      </w:pPr>
      <w:r>
        <w:rPr>
          <w:szCs w:val="28"/>
        </w:rPr>
        <w:br w:type="page"/>
      </w:r>
    </w:p>
    <w:p w:rsidR="00491C48" w:rsidRDefault="00491C48" w:rsidP="00491C4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Лекция </w:t>
      </w:r>
      <w:r w:rsidR="00B65A07">
        <w:rPr>
          <w:b/>
          <w:sz w:val="28"/>
          <w:szCs w:val="28"/>
        </w:rPr>
        <w:t xml:space="preserve">1 </w:t>
      </w:r>
      <w:r w:rsidRPr="00491C48">
        <w:rPr>
          <w:b/>
          <w:sz w:val="28"/>
          <w:szCs w:val="28"/>
        </w:rPr>
        <w:t>Национальные и международные режимы внешнеторговой деятельности</w:t>
      </w:r>
    </w:p>
    <w:p w:rsidR="00491C48" w:rsidRPr="00491C48" w:rsidRDefault="00491C48" w:rsidP="00491C48">
      <w:pPr>
        <w:numPr>
          <w:ilvl w:val="0"/>
          <w:numId w:val="2"/>
        </w:numPr>
        <w:tabs>
          <w:tab w:val="left" w:pos="252"/>
        </w:tabs>
        <w:rPr>
          <w:sz w:val="28"/>
          <w:szCs w:val="28"/>
        </w:rPr>
      </w:pPr>
      <w:r w:rsidRPr="00491C48">
        <w:rPr>
          <w:sz w:val="28"/>
          <w:szCs w:val="28"/>
        </w:rPr>
        <w:t>Сущность и составляющие национального режима внешнеторговой деятельности</w:t>
      </w:r>
    </w:p>
    <w:p w:rsidR="00491C48" w:rsidRPr="00491C48" w:rsidRDefault="00491C48" w:rsidP="00491C48">
      <w:pPr>
        <w:numPr>
          <w:ilvl w:val="0"/>
          <w:numId w:val="2"/>
        </w:numPr>
        <w:tabs>
          <w:tab w:val="left" w:pos="252"/>
        </w:tabs>
        <w:rPr>
          <w:sz w:val="28"/>
          <w:szCs w:val="28"/>
        </w:rPr>
      </w:pPr>
      <w:r w:rsidRPr="00491C48">
        <w:rPr>
          <w:sz w:val="28"/>
          <w:szCs w:val="28"/>
        </w:rPr>
        <w:t>Правовые режимы в международной торговле</w:t>
      </w:r>
      <w:bookmarkStart w:id="0" w:name="_GoBack"/>
      <w:bookmarkEnd w:id="0"/>
    </w:p>
    <w:p w:rsidR="00491C48" w:rsidRPr="00491C48" w:rsidRDefault="00491C48" w:rsidP="00491C48">
      <w:pPr>
        <w:numPr>
          <w:ilvl w:val="0"/>
          <w:numId w:val="2"/>
        </w:numPr>
        <w:tabs>
          <w:tab w:val="left" w:pos="252"/>
        </w:tabs>
        <w:rPr>
          <w:sz w:val="28"/>
          <w:szCs w:val="28"/>
        </w:rPr>
      </w:pPr>
      <w:r w:rsidRPr="00491C48">
        <w:rPr>
          <w:sz w:val="28"/>
          <w:szCs w:val="28"/>
        </w:rPr>
        <w:t>Глобализация и регионализация внешнего рынка</w:t>
      </w:r>
    </w:p>
    <w:p w:rsidR="00491C48" w:rsidRPr="00491C48" w:rsidRDefault="00B65A07" w:rsidP="00491C48">
      <w:pPr>
        <w:numPr>
          <w:ilvl w:val="0"/>
          <w:numId w:val="2"/>
        </w:numPr>
        <w:tabs>
          <w:tab w:val="left" w:pos="252"/>
        </w:tabs>
        <w:rPr>
          <w:sz w:val="20"/>
        </w:rPr>
      </w:pPr>
      <w:r>
        <w:rPr>
          <w:sz w:val="28"/>
          <w:szCs w:val="28"/>
        </w:rPr>
        <w:t>Внешнеторговый потенциал Республики Беларусь</w:t>
      </w:r>
    </w:p>
    <w:p w:rsidR="00491C48" w:rsidRDefault="00491C48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</w:p>
    <w:p w:rsidR="00491C48" w:rsidRDefault="00491C48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</w:p>
    <w:p w:rsidR="00491C48" w:rsidRDefault="00491C48" w:rsidP="008F4E08">
      <w:pPr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rPr>
          <w:b/>
          <w:sz w:val="28"/>
          <w:szCs w:val="28"/>
        </w:rPr>
      </w:pPr>
      <w:r w:rsidRPr="00491C48">
        <w:rPr>
          <w:b/>
          <w:sz w:val="28"/>
          <w:szCs w:val="28"/>
        </w:rPr>
        <w:t>Сущность и составляющие национального режима внеш</w:t>
      </w:r>
      <w:r>
        <w:rPr>
          <w:b/>
          <w:sz w:val="28"/>
          <w:szCs w:val="28"/>
        </w:rPr>
        <w:t>неторговой деятельности</w:t>
      </w:r>
    </w:p>
    <w:p w:rsidR="0020761C" w:rsidRPr="0020761C" w:rsidRDefault="0020761C" w:rsidP="0020761C">
      <w:pPr>
        <w:ind w:firstLine="709"/>
        <w:rPr>
          <w:sz w:val="28"/>
          <w:szCs w:val="28"/>
        </w:rPr>
      </w:pPr>
      <w:r w:rsidRPr="0020761C">
        <w:rPr>
          <w:sz w:val="28"/>
          <w:szCs w:val="28"/>
        </w:rPr>
        <w:t>Программой действий правительства Р</w:t>
      </w:r>
      <w:r>
        <w:rPr>
          <w:sz w:val="28"/>
          <w:szCs w:val="28"/>
        </w:rPr>
        <w:t xml:space="preserve">еспублики </w:t>
      </w:r>
      <w:r w:rsidRPr="0020761C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20761C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6 год </w:t>
      </w:r>
      <w:r w:rsidRPr="0020761C">
        <w:rPr>
          <w:sz w:val="28"/>
          <w:szCs w:val="28"/>
        </w:rPr>
        <w:t>предусмотрено расширение внешнеэкономического сотрудничества и интеграционных процессов</w:t>
      </w:r>
      <w:r>
        <w:rPr>
          <w:sz w:val="28"/>
          <w:szCs w:val="28"/>
        </w:rPr>
        <w:t>.</w:t>
      </w:r>
      <w:r w:rsidRPr="0020761C">
        <w:rPr>
          <w:sz w:val="28"/>
          <w:szCs w:val="28"/>
        </w:rPr>
        <w:t xml:space="preserve"> Цель – эффективное использование преимуществ от участия в процессах региональной и глобальной интеграции.</w:t>
      </w:r>
    </w:p>
    <w:p w:rsidR="0020761C" w:rsidRPr="0020761C" w:rsidRDefault="0020761C" w:rsidP="0020761C">
      <w:pPr>
        <w:ind w:firstLine="709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Задачи: </w:t>
      </w:r>
    </w:p>
    <w:p w:rsidR="0020761C" w:rsidRPr="0020761C" w:rsidRDefault="0020761C" w:rsidP="0020761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расширение</w:t>
      </w:r>
      <w:proofErr w:type="gramEnd"/>
      <w:r w:rsidRPr="0020761C">
        <w:rPr>
          <w:sz w:val="28"/>
          <w:szCs w:val="28"/>
        </w:rPr>
        <w:t xml:space="preserve"> и диверсификация экономического сотрудничества с различными странами, интеграционными объединениями и международными экономическими организациями; </w:t>
      </w:r>
    </w:p>
    <w:p w:rsidR="0020761C" w:rsidRPr="0020761C" w:rsidRDefault="0020761C" w:rsidP="0020761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приоритетное</w:t>
      </w:r>
      <w:proofErr w:type="gramEnd"/>
      <w:r w:rsidRPr="0020761C">
        <w:rPr>
          <w:sz w:val="28"/>
          <w:szCs w:val="28"/>
        </w:rPr>
        <w:t xml:space="preserve"> развитие экономической интеграции в рамках Евразийского экономического союза, Союзного государства Беларуси и России, Содружества Независимых Государств; </w:t>
      </w:r>
    </w:p>
    <w:p w:rsidR="0020761C" w:rsidRPr="0020761C" w:rsidRDefault="0020761C" w:rsidP="0020761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развитие</w:t>
      </w:r>
      <w:proofErr w:type="gramEnd"/>
      <w:r w:rsidRPr="0020761C">
        <w:rPr>
          <w:sz w:val="28"/>
          <w:szCs w:val="28"/>
        </w:rPr>
        <w:t xml:space="preserve"> экономического сотрудничества с Европейским союзом; </w:t>
      </w:r>
    </w:p>
    <w:p w:rsidR="0020761C" w:rsidRPr="0020761C" w:rsidRDefault="0020761C" w:rsidP="0020761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участие</w:t>
      </w:r>
      <w:proofErr w:type="gramEnd"/>
      <w:r w:rsidRPr="0020761C">
        <w:rPr>
          <w:sz w:val="28"/>
          <w:szCs w:val="28"/>
        </w:rPr>
        <w:t xml:space="preserve"> в проекте ”Экономический пояс ”Шелковый путь“, инициированном Китайской Народной Республикой; </w:t>
      </w:r>
    </w:p>
    <w:p w:rsidR="0020761C" w:rsidRPr="0020761C" w:rsidRDefault="0020761C" w:rsidP="0020761C">
      <w:pPr>
        <w:pStyle w:val="a5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содействие</w:t>
      </w:r>
      <w:proofErr w:type="gramEnd"/>
      <w:r w:rsidRPr="0020761C">
        <w:rPr>
          <w:sz w:val="28"/>
          <w:szCs w:val="28"/>
        </w:rPr>
        <w:t xml:space="preserve"> гармонизации региональных и глобальных интеграционных проектов, в которые вовлечена Республика Беларусь. </w:t>
      </w:r>
    </w:p>
    <w:p w:rsidR="0020761C" w:rsidRPr="0020761C" w:rsidRDefault="0020761C" w:rsidP="0020761C">
      <w:pPr>
        <w:ind w:firstLine="709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Механизмы реализации: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системная</w:t>
      </w:r>
      <w:proofErr w:type="gramEnd"/>
      <w:r w:rsidRPr="0020761C">
        <w:rPr>
          <w:sz w:val="28"/>
          <w:szCs w:val="28"/>
        </w:rPr>
        <w:t xml:space="preserve"> работа по ликвидации изъятий и ограничений на рынках ЕАЭС;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разработка</w:t>
      </w:r>
      <w:proofErr w:type="gramEnd"/>
      <w:r w:rsidRPr="0020761C">
        <w:rPr>
          <w:sz w:val="28"/>
          <w:szCs w:val="28"/>
        </w:rPr>
        <w:t xml:space="preserve"> общих подходов к скоординированной промышленной и агропромышленной политике и совместному продвижению экспорта в ЕАЭС;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разработка</w:t>
      </w:r>
      <w:proofErr w:type="gramEnd"/>
      <w:r w:rsidRPr="0020761C">
        <w:rPr>
          <w:sz w:val="28"/>
          <w:szCs w:val="28"/>
        </w:rPr>
        <w:t xml:space="preserve"> концепций формирования общих рынков электроэнергии, газа, нефти и нефтепродуктов в ЕАЭС;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разработка</w:t>
      </w:r>
      <w:proofErr w:type="gramEnd"/>
      <w:r w:rsidRPr="0020761C">
        <w:rPr>
          <w:sz w:val="28"/>
          <w:szCs w:val="28"/>
        </w:rPr>
        <w:t xml:space="preserve"> планов либерализации секторов (подсекторов) услуг, по которым формирование единого рынка услуг в ЕАЭС осуществляется в течение переходного периода, включая программу поэтапной либерализации автомобильных перевозок;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принятие</w:t>
      </w:r>
      <w:proofErr w:type="gramEnd"/>
      <w:r w:rsidRPr="0020761C">
        <w:rPr>
          <w:sz w:val="28"/>
          <w:szCs w:val="28"/>
        </w:rPr>
        <w:t xml:space="preserve"> нового Таможенного кодекса;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разработка</w:t>
      </w:r>
      <w:proofErr w:type="gramEnd"/>
      <w:r w:rsidRPr="0020761C">
        <w:rPr>
          <w:sz w:val="28"/>
          <w:szCs w:val="28"/>
        </w:rPr>
        <w:t xml:space="preserve"> согласованных подходов к регулированию валютных правоотношений и финансовых рынков в ЕАЭС;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развитие</w:t>
      </w:r>
      <w:proofErr w:type="gramEnd"/>
      <w:r w:rsidRPr="0020761C">
        <w:rPr>
          <w:sz w:val="28"/>
          <w:szCs w:val="28"/>
        </w:rPr>
        <w:t xml:space="preserve"> экономического сотрудничества с перспективными партнерами вне ЕАЭС – Китай, Индия, ОАЭ, Катар, Туркменистан, Азербайджан, Турция, Венесуэла, Эквадор, Сербия, Узбекистан, </w:t>
      </w:r>
      <w:r w:rsidRPr="0020761C">
        <w:rPr>
          <w:sz w:val="28"/>
          <w:szCs w:val="28"/>
        </w:rPr>
        <w:lastRenderedPageBreak/>
        <w:t xml:space="preserve">Таджикистан, Индонезия, Бангладеш, Монголия, Мьянма, Малайзия, Вьетнам, Лаос, Филиппины, Эфиопия, Нигерия, Гана, Кения, Мозамбик;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участие</w:t>
      </w:r>
      <w:proofErr w:type="gramEnd"/>
      <w:r w:rsidRPr="0020761C">
        <w:rPr>
          <w:sz w:val="28"/>
          <w:szCs w:val="28"/>
        </w:rPr>
        <w:t xml:space="preserve"> в совместных переговорах государств – членов ЕАЭС с учетом решения прагматичных задач, стоящих перед экономикой республики, о формировании зоны свободно торговли с государствами ЕАСТ, АСЕАН;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включение</w:t>
      </w:r>
      <w:proofErr w:type="gramEnd"/>
      <w:r w:rsidRPr="0020761C">
        <w:rPr>
          <w:sz w:val="28"/>
          <w:szCs w:val="28"/>
        </w:rPr>
        <w:t xml:space="preserve"> в международные и формирование собственных ТНК, обеспечивающих высокий уровень производительности труда и конкурентоспособности;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усиление взаимодействия с международными организациями МВФ, Группой Всемирного банка, ЕБРР, участие в программах ООН по развитию человеческого потенциала (Программа развития ПРООН), Программе по окружающей среде (ЮНЕП), создание условий для полной реализации прав и потенциала детей и молодежи (ЮНИСЕФ), сотрудничество с Глобальным экологическим фондом (ГЭФ) и другое; переход в активную фазу подготовки проекта итогового доклада, устанавливающего пакет обязательств Республики Беларусь в качестве члена ВТО; </w:t>
      </w:r>
    </w:p>
    <w:p w:rsidR="0020761C" w:rsidRPr="0020761C" w:rsidRDefault="0020761C" w:rsidP="0020761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проведение</w:t>
      </w:r>
      <w:proofErr w:type="gramEnd"/>
      <w:r w:rsidRPr="0020761C">
        <w:rPr>
          <w:sz w:val="28"/>
          <w:szCs w:val="28"/>
        </w:rPr>
        <w:t xml:space="preserve"> работы по повышению позиции Республики Беларусь в классификации </w:t>
      </w:r>
      <w:proofErr w:type="spellStart"/>
      <w:r w:rsidRPr="0020761C">
        <w:rPr>
          <w:sz w:val="28"/>
          <w:szCs w:val="28"/>
        </w:rPr>
        <w:t>страновых</w:t>
      </w:r>
      <w:proofErr w:type="spellEnd"/>
      <w:r w:rsidRPr="0020761C">
        <w:rPr>
          <w:sz w:val="28"/>
          <w:szCs w:val="28"/>
        </w:rPr>
        <w:t xml:space="preserve"> кредитных рисков ОЭСР, усиление взаимодействия с организациями и государствами-членами, которые могут способствовать положительному решению данно</w:t>
      </w:r>
      <w:r>
        <w:rPr>
          <w:sz w:val="28"/>
          <w:szCs w:val="28"/>
        </w:rPr>
        <w:t>го вопроса.</w:t>
      </w:r>
    </w:p>
    <w:p w:rsidR="00491C48" w:rsidRPr="00491C48" w:rsidRDefault="00491C48" w:rsidP="00491C48">
      <w:pPr>
        <w:tabs>
          <w:tab w:val="left" w:pos="252"/>
        </w:tabs>
        <w:ind w:left="720"/>
        <w:rPr>
          <w:sz w:val="28"/>
          <w:szCs w:val="28"/>
        </w:rPr>
      </w:pPr>
    </w:p>
    <w:p w:rsidR="00491C48" w:rsidRDefault="00491C48" w:rsidP="00491C48">
      <w:pPr>
        <w:numPr>
          <w:ilvl w:val="0"/>
          <w:numId w:val="3"/>
        </w:numPr>
        <w:tabs>
          <w:tab w:val="left" w:pos="252"/>
        </w:tabs>
        <w:rPr>
          <w:b/>
          <w:sz w:val="28"/>
          <w:szCs w:val="28"/>
        </w:rPr>
      </w:pPr>
      <w:r w:rsidRPr="00491C48">
        <w:rPr>
          <w:b/>
          <w:sz w:val="28"/>
          <w:szCs w:val="28"/>
        </w:rPr>
        <w:t>Правовые режимы в международной торговле</w:t>
      </w:r>
    </w:p>
    <w:p w:rsidR="001F3BD0" w:rsidRPr="00862CE4" w:rsidRDefault="001F3BD0" w:rsidP="001F3BD0">
      <w:pPr>
        <w:ind w:firstLine="709"/>
        <w:jc w:val="both"/>
        <w:rPr>
          <w:sz w:val="28"/>
          <w:szCs w:val="28"/>
        </w:rPr>
      </w:pPr>
      <w:r w:rsidRPr="00862CE4">
        <w:rPr>
          <w:sz w:val="28"/>
          <w:szCs w:val="28"/>
        </w:rPr>
        <w:t>Важнейшей международной организацией, которая призвана содействовать гармонизации и упрощению процедур торговли, является Всемирная торговая организация (ВТО)</w:t>
      </w:r>
      <w:r>
        <w:rPr>
          <w:sz w:val="28"/>
          <w:szCs w:val="28"/>
        </w:rPr>
        <w:t>. По правилам ВТО</w:t>
      </w:r>
      <w:r w:rsidRPr="00862CE4">
        <w:rPr>
          <w:sz w:val="28"/>
          <w:szCs w:val="28"/>
        </w:rPr>
        <w:t xml:space="preserve"> регулируется 95 процентов международной (мировой) торговли. За последние годы в рамках ВТО принято ряд соглашений, направленных на гармонизацию мер нетарифного регулирования. К ним, в частности, относятся соглашения: по техническим барьерам, лицензированию импорта, оценке таможенной стоимости, предотгрузочной инспекции, происхождению товара, инвестиционным</w:t>
      </w:r>
      <w:r>
        <w:rPr>
          <w:sz w:val="28"/>
          <w:szCs w:val="28"/>
        </w:rPr>
        <w:t xml:space="preserve"> и </w:t>
      </w:r>
      <w:r w:rsidRPr="00862CE4">
        <w:rPr>
          <w:sz w:val="28"/>
          <w:szCs w:val="28"/>
        </w:rPr>
        <w:t xml:space="preserve">фитосанитарным мерам. 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62CE4">
        <w:rPr>
          <w:spacing w:val="2"/>
          <w:sz w:val="28"/>
          <w:szCs w:val="28"/>
        </w:rPr>
        <w:t xml:space="preserve">Важным международным документом ВТО и первым результатом </w:t>
      </w:r>
      <w:proofErr w:type="spellStart"/>
      <w:r w:rsidRPr="00862CE4">
        <w:rPr>
          <w:spacing w:val="2"/>
          <w:sz w:val="28"/>
          <w:szCs w:val="28"/>
        </w:rPr>
        <w:t>Дохийского</w:t>
      </w:r>
      <w:proofErr w:type="spellEnd"/>
      <w:r w:rsidRPr="00862CE4">
        <w:rPr>
          <w:spacing w:val="2"/>
          <w:sz w:val="28"/>
          <w:szCs w:val="28"/>
        </w:rPr>
        <w:t xml:space="preserve"> раунда торговых переговоров по упрощению процедур торговли является Соглашение ВТО об упрощении процедур торговли. Текст Соглашения был окончательно принят на 9-й Министерской конференции, которая проходила на о. Бали в 2013 году, после длительного периода переговоров, инициированных ещё в 2001 году. Соглашение вступит в силу после того, как 2/3 членов ВТО уведомят секретариат ВТО том, что они его принимают.</w:t>
      </w:r>
    </w:p>
    <w:p w:rsidR="001F3BD0" w:rsidRPr="00862CE4" w:rsidRDefault="001F3BD0" w:rsidP="001F3BD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862CE4">
        <w:rPr>
          <w:spacing w:val="2"/>
          <w:sz w:val="28"/>
          <w:szCs w:val="28"/>
        </w:rPr>
        <w:t xml:space="preserve">Соглашение об упрощении процедур торговли 2013 года определяет меры по укреплению беспристрастности, устранению дискриминации и повышению прозрачности процедур международной торговли. В соответствии с переговорным мандатом </w:t>
      </w:r>
      <w:proofErr w:type="spellStart"/>
      <w:r w:rsidRPr="00862CE4">
        <w:rPr>
          <w:spacing w:val="2"/>
          <w:sz w:val="28"/>
          <w:szCs w:val="28"/>
        </w:rPr>
        <w:t>Дохийской</w:t>
      </w:r>
      <w:proofErr w:type="spellEnd"/>
      <w:r w:rsidRPr="00862CE4">
        <w:rPr>
          <w:spacing w:val="2"/>
          <w:sz w:val="28"/>
          <w:szCs w:val="28"/>
        </w:rPr>
        <w:t xml:space="preserve"> декларации министров, Соглашение уточняет и улучшает ряд статей ГАТТ 1994 года по таким аспектам, как:</w:t>
      </w:r>
    </w:p>
    <w:p w:rsidR="001F3BD0" w:rsidRPr="00862CE4" w:rsidRDefault="001F3BD0" w:rsidP="001F3BD0">
      <w:pPr>
        <w:pStyle w:val="a6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lastRenderedPageBreak/>
        <w:t>ускорение</w:t>
      </w:r>
      <w:proofErr w:type="gramEnd"/>
      <w:r w:rsidRPr="00862CE4">
        <w:rPr>
          <w:spacing w:val="2"/>
          <w:sz w:val="28"/>
          <w:szCs w:val="28"/>
        </w:rPr>
        <w:t xml:space="preserve"> товарооборота</w:t>
      </w:r>
      <w:r w:rsidRPr="00862CE4">
        <w:rPr>
          <w:spacing w:val="2"/>
          <w:sz w:val="28"/>
          <w:szCs w:val="28"/>
          <w:lang w:val="en-US"/>
        </w:rPr>
        <w:t>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свобода</w:t>
      </w:r>
      <w:proofErr w:type="gramEnd"/>
      <w:r w:rsidRPr="00862CE4">
        <w:rPr>
          <w:spacing w:val="2"/>
          <w:sz w:val="28"/>
          <w:szCs w:val="28"/>
        </w:rPr>
        <w:t xml:space="preserve"> транзита</w:t>
      </w:r>
      <w:r w:rsidRPr="00862CE4">
        <w:rPr>
          <w:spacing w:val="2"/>
          <w:sz w:val="28"/>
          <w:szCs w:val="28"/>
          <w:lang w:val="en-US"/>
        </w:rPr>
        <w:t>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транзитные</w:t>
      </w:r>
      <w:proofErr w:type="gramEnd"/>
      <w:r w:rsidRPr="00862CE4">
        <w:rPr>
          <w:spacing w:val="2"/>
          <w:sz w:val="28"/>
          <w:szCs w:val="28"/>
        </w:rPr>
        <w:t xml:space="preserve"> перевозки грузов</w:t>
      </w:r>
      <w:r w:rsidRPr="00862CE4">
        <w:rPr>
          <w:spacing w:val="2"/>
          <w:sz w:val="28"/>
          <w:szCs w:val="28"/>
          <w:lang w:val="en-US"/>
        </w:rPr>
        <w:t>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опубликование</w:t>
      </w:r>
      <w:proofErr w:type="gramEnd"/>
      <w:r w:rsidRPr="00862CE4">
        <w:rPr>
          <w:spacing w:val="2"/>
          <w:sz w:val="28"/>
          <w:szCs w:val="28"/>
        </w:rPr>
        <w:t xml:space="preserve"> и наличие информации</w:t>
      </w:r>
      <w:r w:rsidRPr="00862CE4">
        <w:rPr>
          <w:spacing w:val="2"/>
          <w:sz w:val="28"/>
          <w:szCs w:val="28"/>
          <w:lang w:val="en-US"/>
        </w:rPr>
        <w:t>;</w:t>
      </w:r>
    </w:p>
    <w:p w:rsidR="001F3BD0" w:rsidRPr="00862CE4" w:rsidRDefault="001F3BD0" w:rsidP="001F3BD0">
      <w:pPr>
        <w:pStyle w:val="a6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выпуск</w:t>
      </w:r>
      <w:proofErr w:type="gramEnd"/>
      <w:r w:rsidRPr="00862CE4">
        <w:rPr>
          <w:spacing w:val="2"/>
          <w:sz w:val="28"/>
          <w:szCs w:val="28"/>
        </w:rPr>
        <w:t xml:space="preserve"> и таможенная очистка товаров;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предварительные</w:t>
      </w:r>
      <w:proofErr w:type="gramEnd"/>
      <w:r w:rsidRPr="00862CE4">
        <w:rPr>
          <w:spacing w:val="2"/>
          <w:sz w:val="28"/>
          <w:szCs w:val="28"/>
        </w:rPr>
        <w:t xml:space="preserve"> решения</w:t>
      </w:r>
      <w:r w:rsidRPr="00862CE4">
        <w:rPr>
          <w:spacing w:val="2"/>
          <w:sz w:val="28"/>
          <w:szCs w:val="28"/>
          <w:lang w:val="en-US"/>
        </w:rPr>
        <w:t>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взимание</w:t>
      </w:r>
      <w:proofErr w:type="gramEnd"/>
      <w:r w:rsidRPr="00862CE4">
        <w:rPr>
          <w:spacing w:val="2"/>
          <w:sz w:val="28"/>
          <w:szCs w:val="28"/>
        </w:rPr>
        <w:t xml:space="preserve"> пошлин и сборов, налагаемых в связи с импортом и экспортом;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выпуск</w:t>
      </w:r>
      <w:proofErr w:type="gramEnd"/>
      <w:r w:rsidRPr="00862CE4">
        <w:rPr>
          <w:spacing w:val="2"/>
          <w:sz w:val="28"/>
          <w:szCs w:val="28"/>
        </w:rPr>
        <w:t xml:space="preserve"> и таможенная очистка товаров;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перемещение</w:t>
      </w:r>
      <w:proofErr w:type="gramEnd"/>
      <w:r w:rsidRPr="00862CE4">
        <w:rPr>
          <w:spacing w:val="2"/>
          <w:sz w:val="28"/>
          <w:szCs w:val="28"/>
        </w:rPr>
        <w:t xml:space="preserve"> товаров, предназначенных для импорта, под таможенным контролем;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сотрудничество</w:t>
      </w:r>
      <w:proofErr w:type="gramEnd"/>
      <w:r w:rsidRPr="00862CE4">
        <w:rPr>
          <w:spacing w:val="2"/>
          <w:sz w:val="28"/>
          <w:szCs w:val="28"/>
        </w:rPr>
        <w:t xml:space="preserve"> между контрольными органами на границе;</w:t>
      </w:r>
    </w:p>
    <w:p w:rsidR="001F3BD0" w:rsidRPr="00862CE4" w:rsidRDefault="001F3BD0" w:rsidP="001F3BD0">
      <w:pPr>
        <w:pStyle w:val="a5"/>
        <w:numPr>
          <w:ilvl w:val="0"/>
          <w:numId w:val="12"/>
        </w:numPr>
        <w:ind w:left="0" w:firstLine="42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62CE4">
        <w:rPr>
          <w:spacing w:val="2"/>
          <w:sz w:val="28"/>
          <w:szCs w:val="28"/>
        </w:rPr>
        <w:t>формальности</w:t>
      </w:r>
      <w:proofErr w:type="gramEnd"/>
      <w:r w:rsidRPr="00862CE4">
        <w:rPr>
          <w:spacing w:val="2"/>
          <w:sz w:val="28"/>
          <w:szCs w:val="28"/>
        </w:rPr>
        <w:t>, связанные с импортом, экспортом и транзитом.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62CE4">
        <w:rPr>
          <w:spacing w:val="2"/>
          <w:sz w:val="28"/>
          <w:szCs w:val="28"/>
        </w:rPr>
        <w:t xml:space="preserve">Кроме того, в Соглашении содержатся положения, касающиеся детального, так называемого особого и дифференцированного режима для развивающихся и наименее развитых стран-членов ВТО, которые откладывают осуществление мер </w:t>
      </w:r>
      <w:r w:rsidR="009F37B9">
        <w:rPr>
          <w:spacing w:val="2"/>
          <w:sz w:val="28"/>
          <w:szCs w:val="28"/>
        </w:rPr>
        <w:t>С</w:t>
      </w:r>
      <w:r w:rsidRPr="00862CE4">
        <w:rPr>
          <w:spacing w:val="2"/>
          <w:sz w:val="28"/>
          <w:szCs w:val="28"/>
        </w:rPr>
        <w:t>оглашения для этих стран-членов и поддерживают наращивание потенциала в этих странах</w:t>
      </w:r>
      <w:r w:rsidR="009F37B9">
        <w:rPr>
          <w:spacing w:val="2"/>
          <w:sz w:val="28"/>
          <w:szCs w:val="28"/>
        </w:rPr>
        <w:t xml:space="preserve">. </w:t>
      </w:r>
      <w:r w:rsidR="009F37B9" w:rsidRPr="009F37B9">
        <w:rPr>
          <w:spacing w:val="2"/>
          <w:sz w:val="28"/>
          <w:szCs w:val="28"/>
        </w:rPr>
        <w:t>Соглашение вступит в силу после того, как 2/3 членов ВТО уведомят о том, что они его принимают.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>Неотъемлемой частью Генерального соглашения по тарифам и торговле 1994 г. (ГАТТ</w:t>
      </w:r>
      <w:r w:rsidRPr="00862CE4">
        <w:rPr>
          <w:color w:val="000000"/>
          <w:sz w:val="28"/>
          <w:szCs w:val="28"/>
        </w:rPr>
        <w:noBreakHyphen/>
        <w:t>1994), являются соглашения ВТО по мерам нетарифного регулирования международной торговли.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BD0">
        <w:rPr>
          <w:rStyle w:val="a7"/>
          <w:b w:val="0"/>
          <w:color w:val="000000"/>
          <w:sz w:val="28"/>
          <w:szCs w:val="28"/>
        </w:rPr>
        <w:t>Например, соглашение ВТО по техническим барьерам в</w:t>
      </w:r>
      <w:r w:rsidRPr="00862CE4">
        <w:rPr>
          <w:rStyle w:val="a7"/>
          <w:color w:val="000000"/>
          <w:sz w:val="28"/>
          <w:szCs w:val="28"/>
        </w:rPr>
        <w:t xml:space="preserve"> </w:t>
      </w:r>
      <w:r w:rsidRPr="00862CE4">
        <w:rPr>
          <w:color w:val="000000"/>
          <w:sz w:val="28"/>
          <w:szCs w:val="28"/>
        </w:rPr>
        <w:t>торговле предусматривает соблюдение режима наибольшего благоприятствования и национального режима при технической регламентации импорта. Законными целями при использовании данного метода регулирования признаются такие, как: требования национальной безопасности; предотвращение обманной практики; защита здоровья и безопасности людей, жизни и здоровья животных и растений, охрана окружающей среды. Соглашение отдает приоритет уже существующим или разрабатываемым международным стандартам. При этом члены ВТО, планирующие ввести определенные технические регламенты, которые могут серьезно повлиять на отдельные страны, информируют о предполагаемых изменениях других участников организации и дают им возможность высказать свои замечания и пожелания.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 xml:space="preserve">Схожими по своему характеру с техническими барьерами в торговле являются </w:t>
      </w:r>
      <w:r w:rsidRPr="001F3BD0">
        <w:rPr>
          <w:rStyle w:val="a7"/>
          <w:b w:val="0"/>
          <w:color w:val="000000"/>
          <w:sz w:val="28"/>
          <w:szCs w:val="28"/>
        </w:rPr>
        <w:t>санитарные и фитосанитарные меры</w:t>
      </w:r>
      <w:r w:rsidRPr="00862CE4">
        <w:rPr>
          <w:color w:val="000000"/>
          <w:sz w:val="28"/>
          <w:szCs w:val="28"/>
        </w:rPr>
        <w:t xml:space="preserve">, регулируемые соответствующим соглашением. В соответствии с ним члены ВТО имеют право вводить санитарные и фитосанитарные меры, необходимые для защиты жизни и здоровья людей, животных и растений, при условии, что такие меры не противоречат положениям соглашения. К числу санитарных или фитосанитарных мер относятся все соответствующие законы, постановления, правила, требования и процедуры, охватывающие в том числе требования к конечному продукту; методы обработки и производства; процедуры </w:t>
      </w:r>
      <w:r w:rsidRPr="00862CE4">
        <w:rPr>
          <w:color w:val="000000"/>
          <w:sz w:val="28"/>
          <w:szCs w:val="28"/>
        </w:rPr>
        <w:lastRenderedPageBreak/>
        <w:t xml:space="preserve">испытания, инспектирования, сертификации и одобрения; карантинные правила, включая соответствующие требования, связанные с перевозкой животных, растений или материалов, необходимых для их жизнедеятельности. При этом вводимая мера должна быть основана на научных принципах, иметь научное обоснование и не носить дискриминационный характер. 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BD0">
        <w:rPr>
          <w:rStyle w:val="a7"/>
          <w:b w:val="0"/>
          <w:color w:val="000000"/>
          <w:sz w:val="28"/>
          <w:szCs w:val="28"/>
        </w:rPr>
        <w:t xml:space="preserve">Соглашение по процедурам лицензирования импорта </w:t>
      </w:r>
      <w:r w:rsidRPr="00862CE4">
        <w:rPr>
          <w:color w:val="000000"/>
          <w:sz w:val="28"/>
          <w:szCs w:val="28"/>
        </w:rPr>
        <w:t>содержит требования и правила данной процедуры. Сама процедура получения лицензии должна быть максимально простой, информация обо всех требованиях – доступной для заинтересованных лиц. Выделяются автоматическая и неавтоматическая лицензии. Причем ни та, ни другая не должны использоваться как средство влияния на международную торговлю. При квотировании импорта при помощи лицензий лицензирующий орган должен предоставлять информацию о размере квот, о выданных квотах, о распределении квот между странами, о начале и окончании процедуры распределения квот. При отказе в получении лицензии заявитель должен знать причины такого решения, а также иметь возможность подать апелляцию или внести изменения в соответствии с законодательством страны. Срок действия лицензии не должен быть настолько коротким, чтобы сделать заведомо невозможным импорт из отдаленных стран. Страны, которые создают процедуры лицензирования или вносят в них изменения, должны сообщать об этом Комитету по лицензированию импорта в течение 60 дней с момента опубликования с указанием подробной информации.</w:t>
      </w:r>
    </w:p>
    <w:p w:rsidR="001F3BD0" w:rsidRPr="00B65A07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>На международную торговлю влияют не только меры, напрямую относящиеся к данной форме отношений между странами. Определенное воздействие на торговлю могут оказывать также инструменты из сферы инвестиционного регулирования, в частности субсидирование.</w:t>
      </w:r>
      <w:r w:rsidRPr="00862CE4">
        <w:rPr>
          <w:rStyle w:val="apple-converted-space"/>
          <w:color w:val="000000"/>
          <w:sz w:val="28"/>
          <w:szCs w:val="28"/>
        </w:rPr>
        <w:t xml:space="preserve"> </w:t>
      </w:r>
      <w:r w:rsidRPr="00862CE4">
        <w:rPr>
          <w:color w:val="000000"/>
          <w:sz w:val="28"/>
          <w:szCs w:val="28"/>
        </w:rPr>
        <w:t>Многие страны, прежде всего развитые, имеют возможность влиять на конкурентоспособность своих производителей при помощи субсидий, которые могут достигать миллиарды долларов. Такие огромные суммы серьезно искажают торговлю между государствами, к тому же лишают развивающиеся страны возможности на равных конкурировать с производителями из экономически более сильных стран. Поэтому вопросу субсидий ВТО уделяет повышенное внимание, и именно вокруг субсидий разворачиваются самые жаркие споры между странами с различным уровнем экономического развития. В рамках Всемирной торговой организации применение субсидий регулируется</w:t>
      </w:r>
      <w:r w:rsidRPr="00862CE4">
        <w:rPr>
          <w:rStyle w:val="apple-converted-space"/>
          <w:color w:val="000000"/>
          <w:sz w:val="28"/>
          <w:szCs w:val="28"/>
        </w:rPr>
        <w:t xml:space="preserve"> </w:t>
      </w:r>
      <w:r w:rsidRPr="00B65A07">
        <w:rPr>
          <w:rStyle w:val="a7"/>
          <w:b w:val="0"/>
          <w:color w:val="000000"/>
          <w:sz w:val="28"/>
          <w:szCs w:val="28"/>
        </w:rPr>
        <w:t>Соглашением по субсидиям и компенсационным мерам.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A07">
        <w:rPr>
          <w:rStyle w:val="a7"/>
          <w:b w:val="0"/>
          <w:color w:val="000000"/>
          <w:sz w:val="28"/>
          <w:szCs w:val="28"/>
        </w:rPr>
        <w:t>Соглашение ВТО по инвестиционным мерам</w:t>
      </w:r>
      <w:r w:rsidRPr="00862CE4">
        <w:rPr>
          <w:color w:val="000000"/>
          <w:sz w:val="28"/>
          <w:szCs w:val="28"/>
        </w:rPr>
        <w:t>, связанным с торговлей, содержит список мер, противоречащих Генеральному соглашению, в частности:</w:t>
      </w:r>
    </w:p>
    <w:p w:rsidR="001F3BD0" w:rsidRPr="00862CE4" w:rsidRDefault="001F3BD0" w:rsidP="00B65A07">
      <w:pPr>
        <w:pStyle w:val="a6"/>
        <w:numPr>
          <w:ilvl w:val="0"/>
          <w:numId w:val="11"/>
        </w:numPr>
        <w:shd w:val="clear" w:color="auto" w:fill="FFFFFF"/>
        <w:tabs>
          <w:tab w:val="clear" w:pos="1077"/>
          <w:tab w:val="num" w:pos="-270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862CE4">
        <w:rPr>
          <w:color w:val="000000"/>
          <w:sz w:val="28"/>
          <w:szCs w:val="28"/>
        </w:rPr>
        <w:t>принципу</w:t>
      </w:r>
      <w:proofErr w:type="gramEnd"/>
      <w:r w:rsidRPr="00862CE4">
        <w:rPr>
          <w:color w:val="000000"/>
          <w:sz w:val="28"/>
          <w:szCs w:val="28"/>
        </w:rPr>
        <w:t xml:space="preserve"> национального режима противоречат требования к предприятиям покупать или использовать продукцию отечественного происхождения, выраженные в виде условий о конкретных товарах, ценах, количестве; ограничение потребления импортных товаров предприятием, связанное с объемом или стоимостью его экспорта</w:t>
      </w:r>
    </w:p>
    <w:p w:rsidR="001F3BD0" w:rsidRPr="00862CE4" w:rsidRDefault="001F3BD0" w:rsidP="00B65A07">
      <w:pPr>
        <w:pStyle w:val="a6"/>
        <w:numPr>
          <w:ilvl w:val="0"/>
          <w:numId w:val="11"/>
        </w:numPr>
        <w:shd w:val="clear" w:color="auto" w:fill="FFFFFF"/>
        <w:tabs>
          <w:tab w:val="clear" w:pos="1077"/>
          <w:tab w:val="num" w:pos="-270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862CE4">
        <w:rPr>
          <w:color w:val="000000"/>
          <w:sz w:val="28"/>
          <w:szCs w:val="28"/>
        </w:rPr>
        <w:lastRenderedPageBreak/>
        <w:t>обязательству</w:t>
      </w:r>
      <w:proofErr w:type="gramEnd"/>
      <w:r w:rsidRPr="00862CE4">
        <w:rPr>
          <w:color w:val="000000"/>
          <w:sz w:val="28"/>
          <w:szCs w:val="28"/>
        </w:rPr>
        <w:t xml:space="preserve"> устранить количественные ограничения противоречат ограничения импорта товаров, используемых для производства экспортной продукции, путем ужесточения доступа к валюте, связанное с величиной валютных поступлений предприятию; ужесточение условий импорта.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 xml:space="preserve">В соответствии с </w:t>
      </w:r>
      <w:r w:rsidRPr="00B65A07">
        <w:rPr>
          <w:rStyle w:val="a7"/>
          <w:b w:val="0"/>
          <w:color w:val="000000"/>
          <w:sz w:val="28"/>
          <w:szCs w:val="28"/>
        </w:rPr>
        <w:t>Соглашением ВТО по субсидиям и компенсационным мерам</w:t>
      </w:r>
      <w:r w:rsidRPr="00862CE4">
        <w:rPr>
          <w:color w:val="000000"/>
          <w:sz w:val="28"/>
          <w:szCs w:val="28"/>
        </w:rPr>
        <w:t xml:space="preserve"> субсидия существует, когда некоторым предприятиям оказывается финансовое содействие правительством или любым государственным органом в пределах национальной территории. Такое содействие оказывается, когда правительство: осуществляет прямой перевод денежных средств (например, в виде дотаций, займов или покупки акций) или принимает на себя обязательства по переводу таких средств (например, гарантии по займам); отказывается от взимания или не взимает причитающиеся ему доходы; предоставляет товары и услуги или закупает товары; осуществляет платежи в фонды для финансирования или поручает, либо предписывает частному лицу выполнять одну или несколько функций из числа указанных.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>Не всякое субсидирование дает заинтересованной стороне право применить ответные меры. Необходимо, чтобы субсидия являлась специфической, что оценивается по ряду критериев (например, если четко ограничивается круг предприятий, имеющих доступ к субсидиям). Если определены объективные критерии или условия получения субсидии, то она не признается специфической. Если на основании двух предыдущих позиций не удается однозначно классифицировать ситуацию, то рассматриваются дополнительные критерии: преимущественное использование субсидии определенными предприятиями, непропорциональные суммы субсидий, получаемые различными предприятиями, и др.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 xml:space="preserve">Страны - члены ВТО не должны использовать субсидии, применение которых может привести к неблагоприятным последствиям для других стран: ущербу отечественной промышленности; аннулированию или сокращению выгод, прямо или косвенно вытекающих из ГАТТ 1994 г. Серьезному ущемлению интересов других стран может способствовать: а) превышение величины субсидии в стоимости товара порога в 5 %; б) применение субсидии на покрытие эксплуатационных убытков отрасли промышленности; в) использование субсидии на покрытие эксплуатационных убытков предприятия; г) прямое списание задолженности и предоставление субсидий на погашение долга. 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>Для признания серьезного ущемления интересов применение субсидии должно приводить к следующим результатам: вытеснению или затруднению импорта аналогичного товара другой страны на рынок субсидирующей страны; вытеснению или затруднению экспорта аналогичного товара другой страны на рынок третьей страны; значительному занижению цены субсидируемого товара по сравнению с ценой аналогичного товара на том же рынке; увеличению доли субсидирующей страны на мировом рынке того или иного сырьевого товара по сравнению со средней долей, которую он имел до использования механизма субсидирования.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lastRenderedPageBreak/>
        <w:t>Соглашение также подробно определяет процедуру расследования и разрешения споров по данному вопросу. Ряд субсидий не дает основания для применения ответных мер. Этот перечень включает в себя помощь на исследовательскую деятельность; помощь неблагополучным регионам, при условии, что она является неспецифической; содействие в адаптации существующих производственных мощностей к изменениям требований по охране окружающей среды.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>Для субсидий, которые регулируются Соглашением по сельскому хозяйству, правила ВТО предусматривают введение максимального порога государственного субсидирования. При этом вся государственная помощь классифицируется по трем категориям: «красная» – запрещенная, «желтая» – условная, «зеленая» – разрешенная. Обязательства по «красным» мерам выражены в агрегатном методе поддержки, который показывает для каждой страны и каждого товара сумму полученной помощи. «Зеленая» помощь покрывает общие услуги правительства (исследования, обучение, санитарный контроль, инфраструктура, охрана окружающей среды, обеспеченность продовольствием). «Желтыми» являются некоторые не связывающие формы поддержки доходов, а именно: содействие структурной перестройке, прямые платежи по региональным программам и программам по охране окружающей среды. Они могут стать «зелеными» или «красными» в зависимости от их конкретных форм. Только «красные» и некоторые «желтые» виды помощи подпадают под обязательства о сокращении.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E4">
        <w:rPr>
          <w:sz w:val="28"/>
          <w:szCs w:val="28"/>
        </w:rPr>
        <w:t xml:space="preserve">В последние годы при совершенствовании законодательства в таких областях, как: нетарифное регулирование; защитные меры; валютное регулирование; государственная поддержка сельского хозяйства; налогообложение, льготы и субсидии; страхование; связь; стандартизация и техническое нормирование; санитарные и фитосанитарные меры; таможенные сборы и таможенная оценка; защита интеллектуальной собственности Республики Беларусь учитывает рекомендации и требованиями ВТО. Например, в </w:t>
      </w:r>
      <w:smartTag w:uri="urn:schemas-microsoft-com:office:smarttags" w:element="metricconverter">
        <w:smartTagPr>
          <w:attr w:name="ProductID" w:val="2004 г"/>
        </w:smartTagPr>
        <w:r w:rsidRPr="00862CE4">
          <w:rPr>
            <w:sz w:val="28"/>
            <w:szCs w:val="28"/>
          </w:rPr>
          <w:t>2004 г</w:t>
        </w:r>
      </w:smartTag>
      <w:r w:rsidRPr="00862CE4">
        <w:rPr>
          <w:sz w:val="28"/>
          <w:szCs w:val="28"/>
        </w:rPr>
        <w:t>. в Республике Беларусь был принят новый закон «О государственном регулировании внешнеторговой деятельности», при подготовке которого учитывались положения Генерального соглашения ВТО по тарифам и торговле (ГАТТ-1994), Генерального соглашения по торговле услугами (ГАТС) и других соглашений ВТО.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E4">
        <w:rPr>
          <w:sz w:val="28"/>
          <w:szCs w:val="28"/>
        </w:rPr>
        <w:t xml:space="preserve">Учитывая широкий вопросов, охватываемых соглашениями ВТО, которые в целом ведут к гармонизации международной торговли (“правила ВТО”), взаимодействие с ВТО является важным направлением внешнеторговой политики Республики Беларусь. Цель взаимодействия с ВТО – сделать сбалансированными уступки торговым партнерам в целях обеспечения более открытого доступа белорусских товаров и услуг на внешний рынок. 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E4">
        <w:rPr>
          <w:sz w:val="28"/>
          <w:szCs w:val="28"/>
        </w:rPr>
        <w:t xml:space="preserve">Вступление Беларуси в ВТО является длительным и сложным процессом. В настоящее время, например, Республика Беларусь имеет в ВТО статус страны-наблюдателя. Это позволяет Республике Беларусь продвигать своё видение развития ВТО и правовой системы международной торговли. В </w:t>
      </w:r>
      <w:r w:rsidRPr="00862CE4">
        <w:rPr>
          <w:sz w:val="28"/>
          <w:szCs w:val="28"/>
        </w:rPr>
        <w:lastRenderedPageBreak/>
        <w:t xml:space="preserve">процессе регулярно проводимых переговоров РБ исходит из необходимости поддержания адекватного потенциала защиты национальных экономических интересов после вступления в ВТО. Беларусь готова принять по итогам многосторонних торговых переговоров обязательства на уровне других стран-членов ВТО. При этом она рассчитывает, что в отношении нее странами-членами ВТО не будут выдвигаться особые (дополнительные, дискриминационные) требования, выходящие за пределы пакета обязательств самих стран-членов. 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E4">
        <w:rPr>
          <w:sz w:val="28"/>
          <w:szCs w:val="28"/>
        </w:rPr>
        <w:t>Дорожной картой мероприятий по реализации программы “Экспорт Беларуси” на 2016-2020 годы (</w:t>
      </w:r>
      <w:r w:rsidRPr="00862CE4">
        <w:rPr>
          <w:spacing w:val="-4"/>
          <w:sz w:val="28"/>
          <w:szCs w:val="28"/>
        </w:rPr>
        <w:t>Проект Постановления СМРБ</w:t>
      </w:r>
      <w:r w:rsidRPr="00862CE4">
        <w:rPr>
          <w:sz w:val="28"/>
          <w:szCs w:val="28"/>
        </w:rPr>
        <w:t>) предусмотрено “п</w:t>
      </w:r>
      <w:r w:rsidRPr="00862CE4">
        <w:rPr>
          <w:spacing w:val="-4"/>
          <w:sz w:val="28"/>
          <w:szCs w:val="28"/>
        </w:rPr>
        <w:t>роведение переговоров с ВТО с целью формирования и согласования сбалансированных, максимально благоприятных для Республики Беларусь условий членства в ВТО” (п. 157)</w:t>
      </w:r>
    </w:p>
    <w:p w:rsidR="001F3BD0" w:rsidRPr="00862CE4" w:rsidRDefault="001F3BD0" w:rsidP="001F3BD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E4">
        <w:rPr>
          <w:sz w:val="28"/>
          <w:szCs w:val="28"/>
        </w:rPr>
        <w:t>В конечном итоге присоединение Беларуси к ВТО предоставит стране необходимый инструментарий для защиты и продвижения национальных интересов в рамках системы международной торговли.</w:t>
      </w:r>
    </w:p>
    <w:p w:rsidR="001F3BD0" w:rsidRPr="00862CE4" w:rsidRDefault="00B65A07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Важное место в гармонизации и упрощении процедур торговли в Европе принадлежит Европейской экономической комиссии ООН (ЕЭК ООН). </w:t>
      </w:r>
      <w:r w:rsidR="001F3BD0" w:rsidRPr="00862CE4">
        <w:rPr>
          <w:color w:val="000000"/>
          <w:sz w:val="28"/>
          <w:szCs w:val="28"/>
        </w:rPr>
        <w:t xml:space="preserve">На протяжении уже более пятидесяти лет международные эксперты разрабатывают в рамках ЕЭК ООН стандарты, рекомендации о наилучшей практике и практические инструменты для упрощения процедур торговли. ЕЭК ООН отвечает за разработку и поддержание этих стандартов и таким образом способствует созданию взаимовыгодной, предсказуемой и безопасной системы международной торговли. В число инструментов ЕЭК ООН по упрощению процедур торговли входят: Формуляр-образец ООН для внешнеторговых документов; коды и рекомендации для международной торговли и единственный на сегодняшний день глобальный стандарт для электронного обмена данными – ЭДИФАКТ ООН. </w:t>
      </w:r>
      <w:r>
        <w:rPr>
          <w:color w:val="000000"/>
          <w:sz w:val="28"/>
          <w:szCs w:val="28"/>
        </w:rPr>
        <w:t>О</w:t>
      </w:r>
      <w:r w:rsidR="001F3BD0" w:rsidRPr="00862CE4">
        <w:rPr>
          <w:color w:val="000000"/>
          <w:sz w:val="28"/>
          <w:szCs w:val="28"/>
        </w:rPr>
        <w:t xml:space="preserve">добренные </w:t>
      </w:r>
      <w:r>
        <w:rPr>
          <w:color w:val="000000"/>
          <w:sz w:val="28"/>
          <w:szCs w:val="28"/>
        </w:rPr>
        <w:t xml:space="preserve">в 2012 году </w:t>
      </w:r>
      <w:r w:rsidR="001F3BD0" w:rsidRPr="00862CE4">
        <w:rPr>
          <w:color w:val="000000"/>
          <w:sz w:val="28"/>
          <w:szCs w:val="28"/>
        </w:rPr>
        <w:t xml:space="preserve">рекомендации ЕЭК ООН о принципах „единого </w:t>
      </w:r>
      <w:proofErr w:type="gramStart"/>
      <w:r w:rsidR="001F3BD0" w:rsidRPr="00862CE4">
        <w:rPr>
          <w:color w:val="000000"/>
          <w:sz w:val="28"/>
          <w:szCs w:val="28"/>
        </w:rPr>
        <w:t>окна“ для</w:t>
      </w:r>
      <w:proofErr w:type="gramEnd"/>
      <w:r w:rsidR="001F3BD0" w:rsidRPr="00862CE4">
        <w:rPr>
          <w:color w:val="000000"/>
          <w:sz w:val="28"/>
          <w:szCs w:val="28"/>
        </w:rPr>
        <w:t xml:space="preserve"> очистки экспорта и импорта широко признаны в Европейском Союзе, Всемирной торговой организации (ВТО), Всемирной таможенной организации (</w:t>
      </w:r>
      <w:proofErr w:type="spellStart"/>
      <w:r w:rsidR="001F3BD0" w:rsidRPr="00862CE4">
        <w:rPr>
          <w:color w:val="000000"/>
          <w:sz w:val="28"/>
          <w:szCs w:val="28"/>
        </w:rPr>
        <w:t>ВТамО</w:t>
      </w:r>
      <w:proofErr w:type="spellEnd"/>
      <w:r w:rsidR="001F3BD0" w:rsidRPr="00862CE4">
        <w:rPr>
          <w:color w:val="000000"/>
          <w:sz w:val="28"/>
          <w:szCs w:val="28"/>
        </w:rPr>
        <w:t>), ассоциациях бизнеса и во многих странах мира.</w:t>
      </w:r>
    </w:p>
    <w:p w:rsidR="001F3BD0" w:rsidRPr="00862CE4" w:rsidRDefault="001F3BD0" w:rsidP="001F3B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t xml:space="preserve">Европейская экономическая комиссия Организации Объединенных Наций (ЕЭК ООН) и Секретариат Комиссии Таможенного союза работают над внедрением международных стандартов и инструментов упрощения процедур торговли, что особенно важно для развития малых и средних предприятий. В соответствии с „Целями развития </w:t>
      </w:r>
      <w:proofErr w:type="gramStart"/>
      <w:r w:rsidRPr="00862CE4">
        <w:rPr>
          <w:color w:val="000000"/>
          <w:sz w:val="28"/>
          <w:szCs w:val="28"/>
        </w:rPr>
        <w:t>тысячелетия“ ООН</w:t>
      </w:r>
      <w:proofErr w:type="gramEnd"/>
      <w:r w:rsidRPr="00862CE4">
        <w:rPr>
          <w:color w:val="000000"/>
          <w:sz w:val="28"/>
          <w:szCs w:val="28"/>
        </w:rPr>
        <w:t xml:space="preserve"> ЕЭК ООН и ЕЭК_ЕАЭС содействуют „созданию открытой, справедливой, регулируемой, предсказуемой и недискриминационной многосторонней системы торговли“.</w:t>
      </w:r>
    </w:p>
    <w:p w:rsidR="009F37B9" w:rsidRPr="009F37B9" w:rsidRDefault="009F37B9" w:rsidP="009F37B9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F37B9">
        <w:rPr>
          <w:spacing w:val="2"/>
          <w:sz w:val="28"/>
          <w:szCs w:val="28"/>
        </w:rPr>
        <w:t xml:space="preserve">Основным международным документом в области гармонизации и упрощения таможенных процедур является Международная конвенция об упрощении и гармонизации таможенных процедур 1973 года, называемая Киотской. Пересмотренная Всемирной таможенной организацией, Киотская конвенции редакции 2006 года направлена на дальнейшее упрощение </w:t>
      </w:r>
      <w:r w:rsidRPr="009F37B9">
        <w:rPr>
          <w:spacing w:val="2"/>
          <w:sz w:val="28"/>
          <w:szCs w:val="28"/>
        </w:rPr>
        <w:lastRenderedPageBreak/>
        <w:t xml:space="preserve">таможенных процедур путем гармонизации международных таможенных правил. </w:t>
      </w:r>
    </w:p>
    <w:p w:rsidR="009F37B9" w:rsidRPr="009F37B9" w:rsidRDefault="009F37B9" w:rsidP="009F37B9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F37B9">
        <w:rPr>
          <w:spacing w:val="2"/>
          <w:sz w:val="28"/>
          <w:szCs w:val="28"/>
        </w:rPr>
        <w:t>Киотская конвенция содержит стандарты и практические рекомендации в части современных таможенных процедур и методик. При рассмотрении механизмов упрощения и гармонизации таможенных процедур важен не только основной текст Пересмотренной Киотской конвенции, но и содержание Генерального приложение к ней. Генеральное приложение, например, обязывает страны-участницы придерживаться следующих основных принципов: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прозрачность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и предсказуемость таможенной деятельности,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стандартизация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и упрощение сопроводительной документации и процедуры декларирования товаров,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упрощение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процедур для уполномоченных субъектов,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максимальное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использование информационных технологий,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минимизация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необходимого таможенного контроля для обеспечения выполнения регламентов и правил,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использование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системы управления рисками и осуществление контроля на основании аудита,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проведение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совместных мероприятий с другими органами на границах ЕС,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установление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партнерских отношений с субъектами сферы торговли, прежде всего, экономическими операторами (ЭО).</w:t>
      </w:r>
    </w:p>
    <w:p w:rsidR="009F37B9" w:rsidRPr="009F37B9" w:rsidRDefault="009F37B9" w:rsidP="009F37B9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F37B9">
        <w:rPr>
          <w:spacing w:val="2"/>
          <w:sz w:val="28"/>
          <w:szCs w:val="28"/>
        </w:rPr>
        <w:t>Пересмотренная Киотская конвенция 2006 года является основной таможенной конвенцией в области упрощения процедур торговли. Она была разработана Всемирной таможенной организацией и вступила в силу 3 февраля 2006 года. Данная конвенция представляет собой новую редакцию Международной конвенции об упрощении и гармонизации таможенных процедур (Киотской конвенции), принятой в 1973-1974 гг. Пересмотренная Киотская конвенция направлена на упрощение торговли путем гармонизации и упрощения таможенных процедур и правил. В связи с этим Конвенция содержит стандарты и практические рекомендации в части современных таможенных процедур и методик.</w:t>
      </w:r>
    </w:p>
    <w:p w:rsidR="009F37B9" w:rsidRPr="009F37B9" w:rsidRDefault="009F37B9" w:rsidP="009F37B9">
      <w:pPr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F37B9">
        <w:rPr>
          <w:rFonts w:eastAsia="Calibri"/>
          <w:spacing w:val="2"/>
          <w:sz w:val="28"/>
          <w:szCs w:val="28"/>
          <w:lang w:eastAsia="en-US"/>
        </w:rPr>
        <w:t>По состоянию на начало 2016 года Пересмотренную Киотскую конвенцию о гармонизации и упрощении таможенных процедур 2006 года подписали, и придерживаются установленных в ней правил, более 90 стран-участниц. Положения Киотской конвенции носят обязательный характер для стран, её поддержавших.</w:t>
      </w:r>
      <w:r w:rsidRPr="009F37B9">
        <w:rPr>
          <w:rFonts w:ascii="Calibri" w:eastAsia="Calibri" w:hAnsi="Calibri"/>
          <w:spacing w:val="2"/>
          <w:sz w:val="28"/>
          <w:szCs w:val="28"/>
          <w:lang w:eastAsia="en-US"/>
        </w:rPr>
        <w:t xml:space="preserve"> </w:t>
      </w:r>
      <w:r w:rsidRPr="009F37B9">
        <w:rPr>
          <w:rFonts w:eastAsia="Calibri"/>
          <w:spacing w:val="2"/>
          <w:sz w:val="28"/>
          <w:szCs w:val="28"/>
          <w:lang w:eastAsia="en-US"/>
        </w:rPr>
        <w:t>При этом Всемирная таможенная организация содействует реализации конвенции посредством инициатив, которые направлены на повышение осведомленности, обучение, наращивание внешнеторгового потенциала стран-участниц.</w:t>
      </w:r>
    </w:p>
    <w:p w:rsidR="009F37B9" w:rsidRPr="009F37B9" w:rsidRDefault="009F37B9" w:rsidP="009F37B9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F37B9">
        <w:rPr>
          <w:spacing w:val="2"/>
          <w:sz w:val="28"/>
          <w:szCs w:val="28"/>
        </w:rPr>
        <w:t>Страны, желающие стать стороной данной международной конвенции, должны принять как основной текст Конвенции, так и Генеральное приложение к ней, которые носят обязательный характер. Генеральное приложение к Пересмотренной Киотской конвенции обязывает страны-участницы придерживаться следующих основных принципов: 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lastRenderedPageBreak/>
        <w:t>прозрачность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и предсказуемость таможенной деятельности,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стандартизация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и упрощение сопроводительной документации и процедуры декларирования товаров,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упрощение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процедур для уполномоченных субъектов,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максимальное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использование информационных технологий,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минимизация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необходимого таможенного контроля для обеспечения выполнения регламентов и правил,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использование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системы управления рисками и осуществление контроля на основании аудита,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проведение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совместных мероприятий с другими органами на границе,</w:t>
      </w:r>
    </w:p>
    <w:p w:rsidR="009F37B9" w:rsidRPr="009F37B9" w:rsidRDefault="009F37B9" w:rsidP="009F37B9">
      <w:pPr>
        <w:numPr>
          <w:ilvl w:val="0"/>
          <w:numId w:val="18"/>
        </w:numPr>
        <w:tabs>
          <w:tab w:val="clear" w:pos="720"/>
          <w:tab w:val="num" w:pos="426"/>
        </w:tabs>
        <w:ind w:left="0" w:firstLine="426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proofErr w:type="gramStart"/>
      <w:r w:rsidRPr="009F37B9">
        <w:rPr>
          <w:rFonts w:eastAsia="Calibri"/>
          <w:spacing w:val="2"/>
          <w:sz w:val="28"/>
          <w:szCs w:val="28"/>
          <w:lang w:eastAsia="en-US"/>
        </w:rPr>
        <w:t>установление</w:t>
      </w:r>
      <w:proofErr w:type="gramEnd"/>
      <w:r w:rsidRPr="009F37B9">
        <w:rPr>
          <w:rFonts w:eastAsia="Calibri"/>
          <w:spacing w:val="2"/>
          <w:sz w:val="28"/>
          <w:szCs w:val="28"/>
          <w:lang w:eastAsia="en-US"/>
        </w:rPr>
        <w:t xml:space="preserve"> партнерских отношений со сферой торговли</w:t>
      </w:r>
    </w:p>
    <w:p w:rsidR="009F37B9" w:rsidRPr="009F37B9" w:rsidRDefault="009F37B9" w:rsidP="009F37B9">
      <w:pPr>
        <w:tabs>
          <w:tab w:val="num" w:pos="426"/>
        </w:tabs>
        <w:ind w:firstLine="426"/>
        <w:jc w:val="both"/>
        <w:textAlignment w:val="baseline"/>
        <w:rPr>
          <w:spacing w:val="2"/>
          <w:sz w:val="28"/>
          <w:szCs w:val="28"/>
        </w:rPr>
      </w:pPr>
      <w:r w:rsidRPr="009F37B9">
        <w:rPr>
          <w:spacing w:val="2"/>
          <w:sz w:val="28"/>
          <w:szCs w:val="28"/>
        </w:rPr>
        <w:t xml:space="preserve">Всемирная таможенная организация содействует реализации конвенции посредством инициатив, которые направлены на повышение осведомленности, обучение, наращивание потенциала. По состоянию на октябрь 2013 года насчитывалась 92 </w:t>
      </w:r>
      <w:hyperlink r:id="rId5" w:tgtFrame="_blank" w:history="1">
        <w:r w:rsidRPr="009F37B9">
          <w:rPr>
            <w:spacing w:val="2"/>
            <w:sz w:val="28"/>
            <w:szCs w:val="28"/>
          </w:rPr>
          <w:t>страны-участницы</w:t>
        </w:r>
      </w:hyperlink>
      <w:r w:rsidRPr="009F37B9">
        <w:rPr>
          <w:spacing w:val="2"/>
          <w:sz w:val="28"/>
          <w:szCs w:val="28"/>
        </w:rPr>
        <w:t xml:space="preserve">. </w:t>
      </w:r>
      <w:hyperlink r:id="rId6" w:tgtFrame="_blank" w:history="1">
        <w:r w:rsidRPr="009F37B9">
          <w:rPr>
            <w:spacing w:val="2"/>
            <w:sz w:val="28"/>
            <w:szCs w:val="28"/>
          </w:rPr>
          <w:t>Текст конвенции</w:t>
        </w:r>
      </w:hyperlink>
      <w:r w:rsidRPr="009F37B9">
        <w:rPr>
          <w:spacing w:val="2"/>
          <w:sz w:val="28"/>
          <w:szCs w:val="28"/>
        </w:rPr>
        <w:t xml:space="preserve"> и </w:t>
      </w:r>
      <w:hyperlink r:id="rId7" w:tgtFrame="_blank" w:history="1"/>
      <w:r w:rsidRPr="009F37B9">
        <w:rPr>
          <w:spacing w:val="2"/>
          <w:sz w:val="28"/>
          <w:szCs w:val="28"/>
        </w:rPr>
        <w:t xml:space="preserve">по Пересмотренной Киотской конвенции размещены на вебсайте конвенции. </w:t>
      </w:r>
    </w:p>
    <w:p w:rsidR="009F37B9" w:rsidRPr="009F37B9" w:rsidRDefault="009F37B9" w:rsidP="009F37B9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F37B9">
        <w:rPr>
          <w:bCs/>
          <w:color w:val="000000"/>
          <w:sz w:val="28"/>
          <w:szCs w:val="28"/>
        </w:rPr>
        <w:t>В проекте Таможенного кодекса Евразийского экономического союза (ЕАЭС), который находится на стадии завершающего обсуждения, нашли отражение положения ряда международных конвенций – Киотской конвенции по упрощению и гармонизации таможенных процедур, Конвенции по упрощению формальностей в торговле товарами, а также Рамочные стандарты Всемирной таможенной организации по обеспечению безопасности и содействию торговле.</w:t>
      </w:r>
      <w:r w:rsidRPr="009F37B9">
        <w:rPr>
          <w:spacing w:val="2"/>
          <w:sz w:val="28"/>
          <w:szCs w:val="28"/>
        </w:rPr>
        <w:t xml:space="preserve"> Международные конвенции являются важными </w:t>
      </w:r>
      <w:hyperlink r:id="rId8" w:history="1">
        <w:r w:rsidRPr="009F37B9">
          <w:rPr>
            <w:spacing w:val="2"/>
            <w:sz w:val="28"/>
            <w:szCs w:val="28"/>
          </w:rPr>
          <w:t>инструментами упрощения таможенных операций и таможенных формальностей</w:t>
        </w:r>
      </w:hyperlink>
      <w:r w:rsidRPr="009F37B9">
        <w:rPr>
          <w:spacing w:val="2"/>
          <w:sz w:val="28"/>
          <w:szCs w:val="28"/>
        </w:rPr>
        <w:t xml:space="preserve">, так как они обеспечивают прочную нормативно-правовую базу для осуществления мер по упрощению процедур торговли в целом. </w:t>
      </w:r>
    </w:p>
    <w:p w:rsidR="009F37B9" w:rsidRPr="009F37B9" w:rsidRDefault="009F37B9" w:rsidP="009F37B9">
      <w:pPr>
        <w:ind w:firstLine="709"/>
        <w:jc w:val="both"/>
        <w:rPr>
          <w:rFonts w:ascii="Calibri" w:eastAsia="Calibri" w:hAnsi="Calibri"/>
          <w:color w:val="252525"/>
          <w:sz w:val="28"/>
          <w:szCs w:val="28"/>
          <w:lang w:eastAsia="en-US"/>
        </w:rPr>
      </w:pPr>
      <w:r w:rsidRPr="009F37B9">
        <w:rPr>
          <w:bCs/>
          <w:color w:val="000000"/>
          <w:sz w:val="28"/>
          <w:szCs w:val="28"/>
        </w:rPr>
        <w:t xml:space="preserve">Определенная задержка с принятием Таможенного кодекса ЕАЭС связана также с необходимостью его гармонизации с Единым таможенным кодексом Европейского союза (ТКС). И это не случайно. </w:t>
      </w:r>
      <w:r w:rsidRPr="009F37B9">
        <w:rPr>
          <w:color w:val="252525"/>
          <w:sz w:val="28"/>
          <w:szCs w:val="28"/>
        </w:rPr>
        <w:t>Единый таможенный кодекс ЕС (ТКС)</w:t>
      </w:r>
      <w:r w:rsidRPr="009F37B9">
        <w:rPr>
          <w:rFonts w:ascii="Calibri" w:eastAsia="Calibri" w:hAnsi="Calibri"/>
          <w:color w:val="252525"/>
          <w:sz w:val="28"/>
          <w:szCs w:val="28"/>
          <w:lang w:eastAsia="en-US"/>
        </w:rPr>
        <w:t xml:space="preserve"> </w:t>
      </w:r>
      <w:r w:rsidRPr="009F37B9">
        <w:rPr>
          <w:color w:val="252525"/>
          <w:sz w:val="28"/>
          <w:szCs w:val="28"/>
        </w:rPr>
        <w:t>был принят</w:t>
      </w:r>
      <w:r w:rsidRPr="009F37B9">
        <w:rPr>
          <w:rFonts w:ascii="Calibri" w:eastAsia="Calibri" w:hAnsi="Calibri"/>
          <w:color w:val="252525"/>
          <w:sz w:val="28"/>
          <w:szCs w:val="28"/>
          <w:lang w:eastAsia="en-US"/>
        </w:rPr>
        <w:t xml:space="preserve"> </w:t>
      </w:r>
      <w:r w:rsidRPr="009F37B9">
        <w:rPr>
          <w:color w:val="252525"/>
          <w:sz w:val="28"/>
          <w:szCs w:val="28"/>
        </w:rPr>
        <w:t>в 2013 году</w:t>
      </w:r>
      <w:r w:rsidRPr="009F37B9">
        <w:rPr>
          <w:rFonts w:ascii="Calibri" w:eastAsia="Calibri" w:hAnsi="Calibri"/>
          <w:color w:val="252525"/>
          <w:sz w:val="28"/>
          <w:szCs w:val="28"/>
          <w:lang w:eastAsia="en-US"/>
        </w:rPr>
        <w:t xml:space="preserve"> в</w:t>
      </w:r>
      <w:r w:rsidRPr="009F37B9">
        <w:rPr>
          <w:color w:val="252525"/>
          <w:sz w:val="28"/>
          <w:szCs w:val="28"/>
        </w:rPr>
        <w:t xml:space="preserve"> соответствии с Пересмотренной Киотской конвенцией и в развитие её ключевых положений</w:t>
      </w:r>
      <w:r w:rsidRPr="009F37B9">
        <w:rPr>
          <w:rFonts w:ascii="Calibri" w:eastAsia="Calibri" w:hAnsi="Calibri"/>
          <w:color w:val="252525"/>
          <w:sz w:val="28"/>
          <w:szCs w:val="28"/>
          <w:lang w:eastAsia="en-US"/>
        </w:rPr>
        <w:t xml:space="preserve">. </w:t>
      </w:r>
    </w:p>
    <w:p w:rsidR="009F37B9" w:rsidRPr="009F37B9" w:rsidRDefault="009F37B9" w:rsidP="009F37B9">
      <w:pPr>
        <w:shd w:val="clear" w:color="auto" w:fill="FFFFFF"/>
        <w:ind w:firstLine="709"/>
        <w:jc w:val="both"/>
        <w:rPr>
          <w:sz w:val="28"/>
          <w:szCs w:val="28"/>
        </w:rPr>
      </w:pPr>
      <w:r w:rsidRPr="009F37B9">
        <w:rPr>
          <w:sz w:val="28"/>
          <w:szCs w:val="28"/>
        </w:rPr>
        <w:t>В соответствии с Таможенным кодексом Европейского союза 2013 года (ТКС) точное соблюдение правил по определению обязательной тарифной информация (ОТИ) необходимо для обеспечения правовой достоверности идентификации продуктов, ввозимых в ЕС или вывозимых из ЕС. Элементами системы тарифной классификации ЕС являются Товарная номенклатура ВЭД ЕС и Единый таможенный тариф ЕС. Если экономический оператор небрежно относится или игнорирует требования обязательного предоставления таможенной информации (ОТИ), правила ТКС относительно неправильного заполнения декларации могут вступить в силу, что создаст серьезные трудности для ЭО. Могут потребоваться серьезные объяснения относительно применения тарифной идентификации товара, отличающейся от полученной таможенными органами в соответствии с ТКС.</w:t>
      </w:r>
    </w:p>
    <w:p w:rsidR="009F37B9" w:rsidRPr="009F37B9" w:rsidRDefault="009F37B9" w:rsidP="009F37B9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 w:rsidRPr="009F37B9">
        <w:rPr>
          <w:color w:val="252525"/>
          <w:sz w:val="28"/>
          <w:szCs w:val="28"/>
        </w:rPr>
        <w:t xml:space="preserve">Единый Таможенный кодекс ЕС допускает временное хранение товаров только на складах, которые получат разрешение на это от таможенных органов </w:t>
      </w:r>
      <w:r w:rsidRPr="009F37B9">
        <w:rPr>
          <w:color w:val="252525"/>
          <w:sz w:val="28"/>
          <w:szCs w:val="28"/>
        </w:rPr>
        <w:lastRenderedPageBreak/>
        <w:t xml:space="preserve">Евросоюза в части функций, подлежащих согласованию с другими членами ЕС. Для организации таможенного склада необходимо будет получить соответствующее разрешение и внести залог. В связи с этим некоторые страны будут вынуждены </w:t>
      </w:r>
      <w:r w:rsidRPr="009F37B9">
        <w:rPr>
          <w:bCs/>
          <w:color w:val="252525"/>
          <w:sz w:val="28"/>
          <w:szCs w:val="28"/>
        </w:rPr>
        <w:t>ограничить работу так называемых свободных таможенных зон</w:t>
      </w:r>
      <w:r w:rsidRPr="009F37B9">
        <w:rPr>
          <w:color w:val="252525"/>
          <w:sz w:val="28"/>
          <w:szCs w:val="28"/>
        </w:rPr>
        <w:t xml:space="preserve"> на своей территории, что приведет к их трансформации в обычные таможенные склады, а следовательно, их услуги станут не так актуальными для участников ВЭД.</w:t>
      </w:r>
    </w:p>
    <w:p w:rsidR="009F37B9" w:rsidRPr="009F37B9" w:rsidRDefault="009F37B9" w:rsidP="009F37B9">
      <w:pPr>
        <w:ind w:firstLine="709"/>
        <w:jc w:val="both"/>
        <w:rPr>
          <w:sz w:val="28"/>
          <w:szCs w:val="28"/>
        </w:rPr>
      </w:pPr>
      <w:r w:rsidRPr="009F37B9">
        <w:rPr>
          <w:sz w:val="28"/>
          <w:szCs w:val="28"/>
        </w:rPr>
        <w:t>В настоящее время таможенная пошлина применяется к уплате роялти только в том случае, если это относиться к ввозимым товарам, и выплачивается как условие продажи этих товаров. Эти ограничения будут устранены, с целью увеличения уплат роялти таможенной пошлины.</w:t>
      </w:r>
    </w:p>
    <w:p w:rsidR="009F37B9" w:rsidRPr="009F37B9" w:rsidRDefault="009F37B9" w:rsidP="009F37B9">
      <w:pPr>
        <w:ind w:firstLine="709"/>
        <w:jc w:val="both"/>
        <w:rPr>
          <w:sz w:val="28"/>
          <w:szCs w:val="28"/>
        </w:rPr>
      </w:pPr>
      <w:r w:rsidRPr="009F37B9">
        <w:rPr>
          <w:sz w:val="28"/>
          <w:szCs w:val="28"/>
        </w:rPr>
        <w:t>Таким образом, внедрение ТКС и использование сопутствующих, переданных и имплементирующих актов позволят:</w:t>
      </w:r>
    </w:p>
    <w:p w:rsidR="009F37B9" w:rsidRPr="009F37B9" w:rsidRDefault="009F37B9" w:rsidP="009F37B9">
      <w:pPr>
        <w:numPr>
          <w:ilvl w:val="0"/>
          <w:numId w:val="17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9F37B9">
        <w:rPr>
          <w:sz w:val="28"/>
          <w:szCs w:val="28"/>
        </w:rPr>
        <w:t>ускорить</w:t>
      </w:r>
      <w:proofErr w:type="gramEnd"/>
      <w:r w:rsidRPr="009F37B9">
        <w:rPr>
          <w:sz w:val="28"/>
          <w:szCs w:val="28"/>
        </w:rPr>
        <w:t xml:space="preserve"> таможенную легализацию и процедуры;</w:t>
      </w:r>
    </w:p>
    <w:p w:rsidR="009F37B9" w:rsidRPr="009F37B9" w:rsidRDefault="009F37B9" w:rsidP="009F37B9">
      <w:pPr>
        <w:numPr>
          <w:ilvl w:val="0"/>
          <w:numId w:val="17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9F37B9">
        <w:rPr>
          <w:sz w:val="28"/>
          <w:szCs w:val="28"/>
        </w:rPr>
        <w:t>обеспечить</w:t>
      </w:r>
      <w:proofErr w:type="gramEnd"/>
      <w:r w:rsidRPr="009F37B9">
        <w:rPr>
          <w:sz w:val="28"/>
          <w:szCs w:val="28"/>
        </w:rPr>
        <w:t xml:space="preserve"> бизнес большей юридической поддержкой и однородностью;</w:t>
      </w:r>
    </w:p>
    <w:p w:rsidR="009F37B9" w:rsidRPr="009F37B9" w:rsidRDefault="009F37B9" w:rsidP="009F37B9">
      <w:pPr>
        <w:numPr>
          <w:ilvl w:val="0"/>
          <w:numId w:val="17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9F37B9">
        <w:rPr>
          <w:sz w:val="28"/>
          <w:szCs w:val="28"/>
        </w:rPr>
        <w:t>увеличить</w:t>
      </w:r>
      <w:proofErr w:type="gramEnd"/>
      <w:r w:rsidRPr="009F37B9">
        <w:rPr>
          <w:sz w:val="28"/>
          <w:szCs w:val="28"/>
        </w:rPr>
        <w:t xml:space="preserve"> ясность требований для таможенных служащих, действующих на территории ЕС;</w:t>
      </w:r>
    </w:p>
    <w:p w:rsidR="009F37B9" w:rsidRPr="009F37B9" w:rsidRDefault="009F37B9" w:rsidP="009F37B9">
      <w:pPr>
        <w:numPr>
          <w:ilvl w:val="0"/>
          <w:numId w:val="17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9F37B9">
        <w:rPr>
          <w:sz w:val="28"/>
          <w:szCs w:val="28"/>
        </w:rPr>
        <w:t>сделать</w:t>
      </w:r>
      <w:proofErr w:type="gramEnd"/>
      <w:r w:rsidRPr="009F37B9">
        <w:rPr>
          <w:sz w:val="28"/>
          <w:szCs w:val="28"/>
        </w:rPr>
        <w:t xml:space="preserve"> таможенные трансакции соответствующими современным требованиям путем их упрощения и повышения их эффективности;</w:t>
      </w:r>
    </w:p>
    <w:p w:rsidR="009F37B9" w:rsidRPr="009F37B9" w:rsidRDefault="009F37B9" w:rsidP="009F37B9">
      <w:pPr>
        <w:numPr>
          <w:ilvl w:val="0"/>
          <w:numId w:val="17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9F37B9">
        <w:rPr>
          <w:sz w:val="28"/>
          <w:szCs w:val="28"/>
        </w:rPr>
        <w:t>уменьшить</w:t>
      </w:r>
      <w:proofErr w:type="gramEnd"/>
      <w:r w:rsidRPr="009F37B9">
        <w:rPr>
          <w:sz w:val="28"/>
          <w:szCs w:val="28"/>
        </w:rPr>
        <w:t xml:space="preserve"> использование бумажной документации в работе;</w:t>
      </w:r>
    </w:p>
    <w:p w:rsidR="009F37B9" w:rsidRPr="009F37B9" w:rsidRDefault="009F37B9" w:rsidP="009F37B9">
      <w:pPr>
        <w:numPr>
          <w:ilvl w:val="0"/>
          <w:numId w:val="17"/>
        </w:numPr>
        <w:ind w:left="0" w:firstLine="426"/>
        <w:contextualSpacing/>
        <w:jc w:val="both"/>
        <w:rPr>
          <w:sz w:val="28"/>
          <w:szCs w:val="28"/>
        </w:rPr>
      </w:pPr>
      <w:proofErr w:type="gramStart"/>
      <w:r w:rsidRPr="009F37B9">
        <w:rPr>
          <w:sz w:val="28"/>
          <w:szCs w:val="28"/>
        </w:rPr>
        <w:t>выделить</w:t>
      </w:r>
      <w:proofErr w:type="gramEnd"/>
      <w:r w:rsidRPr="009F37B9">
        <w:rPr>
          <w:sz w:val="28"/>
          <w:szCs w:val="28"/>
        </w:rPr>
        <w:t xml:space="preserve"> операторов, выполняющих все требования  ТКС, предоставляя им более быстрое таможенное обслуживание.</w:t>
      </w:r>
    </w:p>
    <w:p w:rsidR="009F37B9" w:rsidRPr="009F37B9" w:rsidRDefault="009F37B9" w:rsidP="009F37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F37B9">
        <w:rPr>
          <w:color w:val="252525"/>
          <w:sz w:val="28"/>
          <w:szCs w:val="28"/>
        </w:rPr>
        <w:t xml:space="preserve">Внедрение ТКС планируется осуществлять постепенно, и переход на наднациональную единую таможенную систему в Евросоюзе продлится до конца 2020 года. Именно к этому времени должен полностью закончиться переходный период. Будет создана IT-инфраструктура, основой которой будут единые базы данных для обмена информацией для стран-членов Евросоюза. Таможенные органы и участники ВЭД будут осуществлять </w:t>
      </w:r>
      <w:r w:rsidRPr="009F37B9">
        <w:rPr>
          <w:bCs/>
          <w:color w:val="252525"/>
          <w:sz w:val="28"/>
          <w:szCs w:val="28"/>
        </w:rPr>
        <w:t>обмен данными только в электронном виде</w:t>
      </w:r>
      <w:r w:rsidRPr="009F37B9">
        <w:rPr>
          <w:b/>
          <w:bCs/>
          <w:color w:val="252525"/>
          <w:sz w:val="28"/>
          <w:szCs w:val="28"/>
        </w:rPr>
        <w:t>,</w:t>
      </w:r>
      <w:r w:rsidRPr="009F37B9">
        <w:rPr>
          <w:color w:val="252525"/>
          <w:sz w:val="28"/>
          <w:szCs w:val="28"/>
        </w:rPr>
        <w:t xml:space="preserve"> а бумажные версии документов станут исключением. </w:t>
      </w:r>
      <w:r w:rsidRPr="009F37B9">
        <w:rPr>
          <w:bCs/>
          <w:color w:val="000000"/>
          <w:sz w:val="28"/>
          <w:szCs w:val="28"/>
        </w:rPr>
        <w:t>Каждая страна Европейского союза должна будет до указанного срока привести национальное законодательство к новым нормам и правилам, а это десятки или даже сотни национальных законов, касающихся не только таможенных, но и налоговых вопросов. При этом с</w:t>
      </w:r>
      <w:r w:rsidRPr="009F37B9">
        <w:rPr>
          <w:color w:val="252525"/>
          <w:sz w:val="28"/>
          <w:szCs w:val="28"/>
        </w:rPr>
        <w:t xml:space="preserve"> 1 мая 2016 года должна вступить в силу основная часть ТКС.</w:t>
      </w:r>
      <w:r w:rsidRPr="009F37B9">
        <w:rPr>
          <w:bCs/>
          <w:color w:val="000000"/>
          <w:sz w:val="28"/>
          <w:szCs w:val="28"/>
        </w:rPr>
        <w:t xml:space="preserve"> </w:t>
      </w:r>
    </w:p>
    <w:p w:rsidR="009F37B9" w:rsidRPr="009F37B9" w:rsidRDefault="009F37B9" w:rsidP="009F37B9">
      <w:pPr>
        <w:ind w:firstLine="709"/>
        <w:jc w:val="both"/>
        <w:textAlignment w:val="baseline"/>
        <w:rPr>
          <w:color w:val="252525"/>
          <w:sz w:val="28"/>
          <w:szCs w:val="28"/>
        </w:rPr>
      </w:pPr>
      <w:r w:rsidRPr="009F37B9">
        <w:rPr>
          <w:color w:val="252525"/>
          <w:sz w:val="28"/>
          <w:szCs w:val="28"/>
        </w:rPr>
        <w:t xml:space="preserve">Длительность переходного периода внедрения ТКС ЕС вызвана существенным характером изменений, которые касаются </w:t>
      </w:r>
      <w:r w:rsidRPr="009F37B9">
        <w:rPr>
          <w:sz w:val="28"/>
          <w:szCs w:val="28"/>
        </w:rPr>
        <w:t xml:space="preserve">гармонизации таможенных правил. </w:t>
      </w:r>
      <w:r w:rsidRPr="009F37B9">
        <w:rPr>
          <w:color w:val="252525"/>
          <w:sz w:val="28"/>
          <w:szCs w:val="28"/>
        </w:rPr>
        <w:t>Важные нововведения касаются определения экспортера, специальных процедур (складирование, обработка и т.д.), правил происхождения и обязывающей тарифной информации (</w:t>
      </w:r>
      <w:proofErr w:type="spellStart"/>
      <w:r w:rsidRPr="009F37B9">
        <w:rPr>
          <w:color w:val="252525"/>
          <w:sz w:val="28"/>
          <w:szCs w:val="28"/>
        </w:rPr>
        <w:t>Binding</w:t>
      </w:r>
      <w:proofErr w:type="spellEnd"/>
      <w:r w:rsidRPr="009F37B9">
        <w:rPr>
          <w:color w:val="252525"/>
          <w:sz w:val="28"/>
          <w:szCs w:val="28"/>
        </w:rPr>
        <w:t xml:space="preserve"> </w:t>
      </w:r>
      <w:proofErr w:type="spellStart"/>
      <w:r w:rsidRPr="009F37B9">
        <w:rPr>
          <w:color w:val="252525"/>
          <w:sz w:val="28"/>
          <w:szCs w:val="28"/>
        </w:rPr>
        <w:t>Tariff</w:t>
      </w:r>
      <w:proofErr w:type="spellEnd"/>
      <w:r w:rsidRPr="009F37B9">
        <w:rPr>
          <w:color w:val="252525"/>
          <w:sz w:val="28"/>
          <w:szCs w:val="28"/>
        </w:rPr>
        <w:t xml:space="preserve"> </w:t>
      </w:r>
      <w:proofErr w:type="spellStart"/>
      <w:r w:rsidRPr="009F37B9">
        <w:rPr>
          <w:color w:val="252525"/>
          <w:sz w:val="28"/>
          <w:szCs w:val="28"/>
        </w:rPr>
        <w:t>Information</w:t>
      </w:r>
      <w:proofErr w:type="spellEnd"/>
      <w:r w:rsidRPr="009F37B9">
        <w:rPr>
          <w:color w:val="252525"/>
          <w:sz w:val="28"/>
          <w:szCs w:val="28"/>
        </w:rPr>
        <w:t>. ОТИ).</w:t>
      </w:r>
    </w:p>
    <w:p w:rsidR="009F37B9" w:rsidRPr="009F37B9" w:rsidRDefault="009F37B9" w:rsidP="009F37B9">
      <w:pPr>
        <w:ind w:firstLine="709"/>
        <w:jc w:val="both"/>
        <w:rPr>
          <w:color w:val="252525"/>
          <w:sz w:val="28"/>
          <w:szCs w:val="28"/>
        </w:rPr>
      </w:pPr>
      <w:r w:rsidRPr="009F37B9">
        <w:rPr>
          <w:color w:val="252525"/>
          <w:sz w:val="28"/>
          <w:szCs w:val="28"/>
        </w:rPr>
        <w:t xml:space="preserve">Отдельное внимание в кодексе уделено деятельности уполномоченных экономических операторов. </w:t>
      </w:r>
      <w:r w:rsidRPr="009F37B9">
        <w:rPr>
          <w:sz w:val="28"/>
          <w:szCs w:val="28"/>
        </w:rPr>
        <w:t xml:space="preserve">Например, статус «уполномоченного экономического оператора» (УЭО) будет присуждаться разрешением, а не </w:t>
      </w:r>
      <w:r w:rsidRPr="009F37B9">
        <w:rPr>
          <w:sz w:val="28"/>
          <w:szCs w:val="28"/>
        </w:rPr>
        <w:lastRenderedPageBreak/>
        <w:t>сертификатом, как это принято в настоящее время, к тому же, будут приняты новые условия и критерии для получения статуса УЭО. При этом у УЭО зна</w:t>
      </w:r>
      <w:r w:rsidRPr="009F37B9">
        <w:rPr>
          <w:color w:val="252525"/>
          <w:sz w:val="28"/>
          <w:szCs w:val="28"/>
        </w:rPr>
        <w:t xml:space="preserve">чительно расширятся операционные возможности. Им позволят упрощенно проводить процедуры таможенного оформления и предоставления таможенных гарантий, а в определенных случаях самостоятельно выпускать товар в свободное обращение, определять стоимость пошлины и выполнять часть работы таможни. Это означает, что будет </w:t>
      </w:r>
      <w:r w:rsidRPr="009F37B9">
        <w:rPr>
          <w:bCs/>
          <w:color w:val="252525"/>
          <w:sz w:val="28"/>
          <w:szCs w:val="28"/>
        </w:rPr>
        <w:t>меньше таможенных проверок</w:t>
      </w:r>
      <w:r w:rsidRPr="009F37B9">
        <w:rPr>
          <w:color w:val="252525"/>
          <w:sz w:val="28"/>
          <w:szCs w:val="28"/>
        </w:rPr>
        <w:t xml:space="preserve"> и, как следствие, больше упрощены таможенные процедуры.</w:t>
      </w:r>
    </w:p>
    <w:p w:rsidR="009F37B9" w:rsidRPr="009F37B9" w:rsidRDefault="009F37B9" w:rsidP="009F37B9">
      <w:pPr>
        <w:ind w:firstLine="709"/>
        <w:jc w:val="both"/>
        <w:rPr>
          <w:sz w:val="28"/>
          <w:szCs w:val="28"/>
        </w:rPr>
      </w:pPr>
      <w:r w:rsidRPr="009F37B9">
        <w:rPr>
          <w:color w:val="252525"/>
          <w:sz w:val="28"/>
          <w:szCs w:val="28"/>
        </w:rPr>
        <w:t>На всей территории Евросоюза будет реализован централизованный механизм оформления перемещения товаров через таможню, что в целом будет способствовать сокращению количества таможенных процедур. Все таможенные декларации будут подаваться в электронном виде через электронный обмен данными EDI (</w:t>
      </w:r>
      <w:proofErr w:type="spellStart"/>
      <w:r w:rsidRPr="009F37B9">
        <w:rPr>
          <w:color w:val="252525"/>
          <w:sz w:val="28"/>
          <w:szCs w:val="28"/>
        </w:rPr>
        <w:t>Electronic</w:t>
      </w:r>
      <w:proofErr w:type="spellEnd"/>
      <w:r w:rsidRPr="009F37B9">
        <w:rPr>
          <w:color w:val="252525"/>
          <w:sz w:val="28"/>
          <w:szCs w:val="28"/>
        </w:rPr>
        <w:t xml:space="preserve"> </w:t>
      </w:r>
      <w:proofErr w:type="spellStart"/>
      <w:r w:rsidRPr="009F37B9">
        <w:rPr>
          <w:color w:val="252525"/>
          <w:sz w:val="28"/>
          <w:szCs w:val="28"/>
        </w:rPr>
        <w:t>Data</w:t>
      </w:r>
      <w:proofErr w:type="spellEnd"/>
      <w:r w:rsidRPr="009F37B9">
        <w:rPr>
          <w:color w:val="252525"/>
          <w:sz w:val="28"/>
          <w:szCs w:val="28"/>
        </w:rPr>
        <w:t xml:space="preserve"> </w:t>
      </w:r>
      <w:proofErr w:type="spellStart"/>
      <w:r w:rsidRPr="009F37B9">
        <w:rPr>
          <w:color w:val="252525"/>
          <w:sz w:val="28"/>
          <w:szCs w:val="28"/>
        </w:rPr>
        <w:t>Interchange</w:t>
      </w:r>
      <w:proofErr w:type="spellEnd"/>
      <w:r w:rsidRPr="009F37B9">
        <w:rPr>
          <w:color w:val="252525"/>
          <w:sz w:val="28"/>
          <w:szCs w:val="28"/>
        </w:rPr>
        <w:t xml:space="preserve">). </w:t>
      </w:r>
      <w:r w:rsidRPr="009F37B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Для доказательства вывоза или ввоза товара для налоговой инспекции достаточно будет иметь декларацию в электронном виде в установленном едином формате. </w:t>
      </w:r>
      <w:r w:rsidRPr="009F37B9">
        <w:rPr>
          <w:sz w:val="28"/>
          <w:szCs w:val="28"/>
        </w:rPr>
        <w:t>В этих условиях правильное определение тарифной информация, необходимой для обеспечения достоверности и правовой точности идентификации продукта, ввозимого в ЕС или вывозимого из ЕС, становиться обязательной не только для таможенной службы, но и для экономических операторов – участников внешнеторговой деятельности.</w:t>
      </w:r>
    </w:p>
    <w:p w:rsidR="009F37B9" w:rsidRPr="009F37B9" w:rsidRDefault="009F37B9" w:rsidP="009F37B9">
      <w:pPr>
        <w:ind w:firstLine="709"/>
        <w:jc w:val="both"/>
        <w:rPr>
          <w:sz w:val="28"/>
          <w:szCs w:val="28"/>
        </w:rPr>
      </w:pPr>
      <w:r w:rsidRPr="009F37B9">
        <w:rPr>
          <w:sz w:val="28"/>
          <w:szCs w:val="28"/>
        </w:rPr>
        <w:t>Правило определения без приоритетного происхождения товара (страны происхождения) в ТКС также изменено. С 2017 приоритетное (преференциальное) отношение к товару будет определяться не при предъявлении сертификата, выданного торгово-промышленной палатой (ТПП) определенной страны, а по декларации на экспортируемый товар, оформление которой будет возложено непосредственно на экономического оператора. И каждому субъекту внешнеэкономической деятельности придется помнить об этом, чтобы избежать штрафов.</w:t>
      </w:r>
    </w:p>
    <w:p w:rsidR="009F37B9" w:rsidRPr="009F37B9" w:rsidRDefault="009F37B9" w:rsidP="009F37B9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 w:rsidRPr="009F37B9">
        <w:rPr>
          <w:color w:val="252525"/>
          <w:sz w:val="28"/>
          <w:szCs w:val="28"/>
        </w:rPr>
        <w:t>Отменяются национальные системы штрафов, а применяться будет только единая система административных взысканий в рамках ТКС. Процедура взыскания таможенных штрафов будет значительно упрощена. Не будут привлекать к ответственности ЭО при случайном или неосознанном уменьшении размера таможенных платежей в незначительном размере. Вместе с тем, значительно повысятся штрафы и санкции за грубые и преднамеренные нарушения таможенных процедур.</w:t>
      </w:r>
    </w:p>
    <w:p w:rsidR="009F37B9" w:rsidRPr="009F37B9" w:rsidRDefault="009F37B9" w:rsidP="009F37B9">
      <w:pPr>
        <w:ind w:firstLine="709"/>
        <w:jc w:val="both"/>
        <w:rPr>
          <w:sz w:val="28"/>
          <w:szCs w:val="28"/>
        </w:rPr>
      </w:pPr>
      <w:r w:rsidRPr="009F37B9">
        <w:rPr>
          <w:sz w:val="28"/>
          <w:szCs w:val="28"/>
        </w:rPr>
        <w:t>Изменены подходы к оценке таможенной стоимости. Если в настоящее время импортерам ЕС, при оценке стоимости товара, разрешено использовать цену более ранних продаж импортируемых товаров, то в ТКС таможенная оценка будет базироваться на последней продаже перед ввозом. Это изменение крайне важно для международных компаний, которые импортируют товары в ЕС в значительных количествах. Вместе с тем, по оценке экспертов, использование при оценке таможенной стоимости цены последней сделки хоть и увеличит суммы таможенных пошлин, но и повлечет за собой значительное увеличение таможенных расходов.</w:t>
      </w:r>
    </w:p>
    <w:p w:rsidR="009F37B9" w:rsidRPr="009F37B9" w:rsidRDefault="009F37B9" w:rsidP="009F37B9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 w:rsidRPr="009F37B9">
        <w:rPr>
          <w:color w:val="252525"/>
          <w:sz w:val="28"/>
          <w:szCs w:val="28"/>
        </w:rPr>
        <w:lastRenderedPageBreak/>
        <w:t>Срок хранения таможенных документов для целей таможенной проверки увеличивается с 3 до 10 лет. Это необходимо для доказательства ввоза и вывоза товара через границу ЕС. В результате таможня получает право</w:t>
      </w:r>
      <w:r w:rsidRPr="009F37B9">
        <w:rPr>
          <w:b/>
          <w:bCs/>
          <w:color w:val="252525"/>
          <w:sz w:val="28"/>
          <w:szCs w:val="28"/>
        </w:rPr>
        <w:t xml:space="preserve"> </w:t>
      </w:r>
      <w:r w:rsidRPr="009F37B9">
        <w:rPr>
          <w:bCs/>
          <w:color w:val="252525"/>
          <w:sz w:val="28"/>
          <w:szCs w:val="28"/>
        </w:rPr>
        <w:t>проверить документы в течение 10 лет</w:t>
      </w:r>
      <w:r w:rsidRPr="009F37B9">
        <w:rPr>
          <w:color w:val="252525"/>
          <w:sz w:val="28"/>
          <w:szCs w:val="28"/>
        </w:rPr>
        <w:t xml:space="preserve"> и, при определенных обстоятельствах, </w:t>
      </w:r>
      <w:r w:rsidRPr="009F37B9">
        <w:rPr>
          <w:bCs/>
          <w:color w:val="252525"/>
          <w:sz w:val="28"/>
          <w:szCs w:val="28"/>
        </w:rPr>
        <w:t>доначислять пошлину</w:t>
      </w:r>
      <w:r w:rsidRPr="009F37B9">
        <w:rPr>
          <w:b/>
          <w:bCs/>
          <w:color w:val="252525"/>
          <w:sz w:val="28"/>
          <w:szCs w:val="28"/>
        </w:rPr>
        <w:t>.</w:t>
      </w:r>
    </w:p>
    <w:p w:rsidR="009F37B9" w:rsidRPr="009F37B9" w:rsidRDefault="009F37B9" w:rsidP="009F37B9">
      <w:pPr>
        <w:shd w:val="clear" w:color="auto" w:fill="FFFFFF"/>
        <w:ind w:firstLine="709"/>
        <w:jc w:val="both"/>
        <w:rPr>
          <w:sz w:val="28"/>
          <w:szCs w:val="28"/>
        </w:rPr>
      </w:pPr>
      <w:r w:rsidRPr="009F37B9">
        <w:rPr>
          <w:color w:val="252525"/>
          <w:sz w:val="28"/>
          <w:szCs w:val="28"/>
        </w:rPr>
        <w:t xml:space="preserve">В конечном итоге переход на ТКС </w:t>
      </w:r>
      <w:r w:rsidRPr="009F37B9">
        <w:rPr>
          <w:sz w:val="28"/>
          <w:szCs w:val="28"/>
        </w:rPr>
        <w:t xml:space="preserve">станет закономерным результатом модернизации таможенной службы ЕС, а внедрение Таможенного кодекса ЕАЭС станет важным этапом не только в развитии Евразийского экономического союза, но и интеграционных процессов на пространстве Европы и Азии. </w:t>
      </w:r>
    </w:p>
    <w:p w:rsidR="00491C48" w:rsidRPr="00491C48" w:rsidRDefault="00491C48" w:rsidP="00491C48">
      <w:pPr>
        <w:tabs>
          <w:tab w:val="left" w:pos="252"/>
        </w:tabs>
        <w:ind w:left="720"/>
        <w:rPr>
          <w:sz w:val="28"/>
          <w:szCs w:val="28"/>
        </w:rPr>
      </w:pPr>
    </w:p>
    <w:p w:rsidR="00491C48" w:rsidRDefault="00491C48" w:rsidP="00491C48">
      <w:pPr>
        <w:numPr>
          <w:ilvl w:val="0"/>
          <w:numId w:val="3"/>
        </w:numPr>
        <w:tabs>
          <w:tab w:val="left" w:pos="252"/>
        </w:tabs>
        <w:rPr>
          <w:b/>
          <w:sz w:val="28"/>
          <w:szCs w:val="28"/>
        </w:rPr>
      </w:pPr>
      <w:r w:rsidRPr="00491C48">
        <w:rPr>
          <w:b/>
          <w:sz w:val="28"/>
          <w:szCs w:val="28"/>
        </w:rPr>
        <w:t>Глобализация и регионализация внешнего рынка</w:t>
      </w:r>
    </w:p>
    <w:p w:rsidR="00AB01ED" w:rsidRPr="0083590A" w:rsidRDefault="00AB01ED" w:rsidP="00AB01E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83590A">
        <w:rPr>
          <w:color w:val="000000"/>
          <w:spacing w:val="-1"/>
          <w:sz w:val="28"/>
          <w:szCs w:val="28"/>
        </w:rPr>
        <w:t>В соответствии с научным прогнозом, предшествовавшим разработке Программы поддержки и развития экспорта Республики Беларусь на 2016-2020 годы о</w:t>
      </w:r>
      <w:r w:rsidRPr="0083590A">
        <w:rPr>
          <w:sz w:val="28"/>
          <w:szCs w:val="28"/>
        </w:rPr>
        <w:t>пределяющими для мировой экономики в 2016–2020 годах станут следующие тенденции:</w:t>
      </w:r>
    </w:p>
    <w:p w:rsidR="00AB01ED" w:rsidRPr="0083590A" w:rsidRDefault="00AB01ED" w:rsidP="00AB01ED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proofErr w:type="gramStart"/>
      <w:r w:rsidRPr="0083590A">
        <w:rPr>
          <w:sz w:val="28"/>
          <w:szCs w:val="28"/>
        </w:rPr>
        <w:t>усиление</w:t>
      </w:r>
      <w:proofErr w:type="gramEnd"/>
      <w:r w:rsidRPr="0083590A">
        <w:rPr>
          <w:sz w:val="28"/>
          <w:szCs w:val="28"/>
        </w:rPr>
        <w:t xml:space="preserve"> глобализации, международной интеграции и интернационализации производства и потребления, охватывающие не только традиционные рынки товаров, капиталов, технологий и рабочей силы, но и системы государственного управления, поддержки инноваций, развития человеческого потенциала. </w:t>
      </w:r>
    </w:p>
    <w:p w:rsidR="00AB01ED" w:rsidRPr="0083590A" w:rsidRDefault="00AB01ED" w:rsidP="00AB01ED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proofErr w:type="gramStart"/>
      <w:r w:rsidRPr="0083590A">
        <w:rPr>
          <w:sz w:val="28"/>
          <w:szCs w:val="28"/>
        </w:rPr>
        <w:t>усиление</w:t>
      </w:r>
      <w:proofErr w:type="gramEnd"/>
      <w:r w:rsidRPr="0083590A">
        <w:rPr>
          <w:sz w:val="28"/>
          <w:szCs w:val="28"/>
        </w:rPr>
        <w:t xml:space="preserve"> конкуренции на мировых рынках и глубины дифференциации стран по уровню экономического развития.</w:t>
      </w:r>
    </w:p>
    <w:p w:rsidR="00AB01ED" w:rsidRPr="0083590A" w:rsidRDefault="00AB01ED" w:rsidP="00AB01ED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proofErr w:type="gramStart"/>
      <w:r w:rsidRPr="0083590A">
        <w:rPr>
          <w:sz w:val="28"/>
          <w:szCs w:val="28"/>
        </w:rPr>
        <w:t>ускорение</w:t>
      </w:r>
      <w:proofErr w:type="gramEnd"/>
      <w:r w:rsidRPr="0083590A">
        <w:rPr>
          <w:sz w:val="28"/>
          <w:szCs w:val="28"/>
        </w:rPr>
        <w:t xml:space="preserve"> темпов научно-технологического прогресса, одновременно сопровождаемое усилением борьбы за технологическое лидерство и новые ниши на мировом рынке высокотехнологичной продукции.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>Под влиянием глобализации формируется новая мировая экономика с выстраиванием экономических границ, не совпадающих с политическими, что усиливает влияние внешних факторов на национальное государство.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>Процессы глобализации для национальной экономики, с одной стороны, создают новые возможности в расширении внешнеэкономической интеграции, усилении позиции страны на мировом рынке, облегчают доступ к новым рынкам и технологиям, увеличивают приток иностранных инвестиций.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С другой стороны, негативными проявлениями этого процесса являются угрозы макроэкономической нестабильности, обострение конкуренции, опасность сокращения представленности национальных производителей на традиционных рынках, усиление интенсивности использования природно-сырьевых ресурсов и риск их истощения. 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>Усиление конкуренции приводит к таким негативным явлениям, как:</w:t>
      </w:r>
    </w:p>
    <w:p w:rsidR="0020761C" w:rsidRPr="0020761C" w:rsidRDefault="0020761C" w:rsidP="0020761C">
      <w:pPr>
        <w:numPr>
          <w:ilvl w:val="0"/>
          <w:numId w:val="6"/>
        </w:numPr>
        <w:ind w:left="709" w:hanging="284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усиление</w:t>
      </w:r>
      <w:proofErr w:type="gramEnd"/>
      <w:r w:rsidRPr="0020761C">
        <w:rPr>
          <w:sz w:val="28"/>
          <w:szCs w:val="28"/>
        </w:rPr>
        <w:t xml:space="preserve"> дисбалансов в области мировой торговли и движения капиталов, сопровождаемых изменением курсов мировых валют и переформатированием мировой финансовой системы;</w:t>
      </w:r>
    </w:p>
    <w:p w:rsidR="0020761C" w:rsidRPr="0020761C" w:rsidRDefault="0020761C" w:rsidP="0020761C">
      <w:pPr>
        <w:numPr>
          <w:ilvl w:val="0"/>
          <w:numId w:val="6"/>
        </w:numPr>
        <w:ind w:left="709" w:hanging="284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появление</w:t>
      </w:r>
      <w:proofErr w:type="gramEnd"/>
      <w:r w:rsidRPr="0020761C">
        <w:rPr>
          <w:sz w:val="28"/>
          <w:szCs w:val="28"/>
        </w:rPr>
        <w:t xml:space="preserve"> новых мировых центров экономического развития в Азии и Латинской Америке, формирование новых региональных и </w:t>
      </w:r>
      <w:r w:rsidRPr="0020761C">
        <w:rPr>
          <w:sz w:val="28"/>
          <w:szCs w:val="28"/>
        </w:rPr>
        <w:lastRenderedPageBreak/>
        <w:t>межрегиональных интеграционных объединений стран, транснациональных компаний и корпораций, развитие сети зон свободной торговли;</w:t>
      </w:r>
    </w:p>
    <w:p w:rsidR="0020761C" w:rsidRPr="0020761C" w:rsidRDefault="0020761C" w:rsidP="0020761C">
      <w:pPr>
        <w:numPr>
          <w:ilvl w:val="0"/>
          <w:numId w:val="6"/>
        </w:numPr>
        <w:ind w:left="709" w:hanging="284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дальнейшее</w:t>
      </w:r>
      <w:proofErr w:type="gramEnd"/>
      <w:r w:rsidRPr="0020761C">
        <w:rPr>
          <w:sz w:val="28"/>
          <w:szCs w:val="28"/>
        </w:rPr>
        <w:t xml:space="preserve"> замедление глобального экономического роста при усиливающейся цикличности возникновения мировых финансово-экономических кризисов. 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>В Европейском союзе темпы экономического роста будут оставаться умеренными (их будут сдерживать высокая социальная нагрузка и усиление конкуренции со стороны новых индустриальных государств).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>В долгосрочной перспективе (за пределами текущей тенденции замедления роста) ожидается сохранение роста мировой экономики в размере 3-4 процента в год при переориентации финансовых потоков из Европы и Северной Америки в направлении Азиатско-Тихоокеанского региона и, частично, Латинской Америки.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>Главными «драйверами» роста мировой экономики с большой вероятностью станут Китай и Индия. В США, после их выхода из финансового кризиса, существует потенциал для повышения экономической динамики (до 3-3,5 процента в год и выше).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К 2020 году сохранится тенденция увеличения доли стран БРИКС </w:t>
      </w:r>
      <w:r w:rsidRPr="0020761C">
        <w:rPr>
          <w:color w:val="000000"/>
          <w:sz w:val="28"/>
          <w:szCs w:val="28"/>
        </w:rPr>
        <w:t xml:space="preserve">(Бразилия, Россия, Индия, Китай и ЮАР) </w:t>
      </w:r>
      <w:r w:rsidRPr="0020761C">
        <w:rPr>
          <w:sz w:val="28"/>
          <w:szCs w:val="28"/>
        </w:rPr>
        <w:t>с 20 процентов до 30 процентов мирового ВВП и сокращения доли «большой тройки» (США, ЕС, Япония) с 45 до 34 процентов.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Основу мировой экономики в 2015-2020 годах будут формировать технологии V и VI укладов, базирующихся на внедрении новых знаний и информации. Все шире используются инновации в сфере развития человеческого потенциала. </w:t>
      </w:r>
    </w:p>
    <w:p w:rsidR="0020761C" w:rsidRP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Путь к развитию экспорта заключается в росте инновационного потенциала предприятий через развитие национальной системы образования и научного обеспечения, создание системы преференций, включая меры институционального и стимулирующего характера. Первоочередное внимание в системе государственной поддержки экспорта должно уделяться: </w:t>
      </w:r>
    </w:p>
    <w:p w:rsidR="0020761C" w:rsidRPr="0020761C" w:rsidRDefault="0020761C" w:rsidP="0020761C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предприятиям</w:t>
      </w:r>
      <w:proofErr w:type="gramEnd"/>
      <w:r w:rsidRPr="0020761C">
        <w:rPr>
          <w:sz w:val="28"/>
          <w:szCs w:val="28"/>
        </w:rPr>
        <w:t xml:space="preserve"> и производствам, использующим технологии высших укладов; </w:t>
      </w:r>
    </w:p>
    <w:p w:rsidR="0020761C" w:rsidRPr="0020761C" w:rsidRDefault="0020761C" w:rsidP="0020761C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производителям</w:t>
      </w:r>
      <w:proofErr w:type="gramEnd"/>
      <w:r w:rsidRPr="0020761C">
        <w:rPr>
          <w:sz w:val="28"/>
          <w:szCs w:val="28"/>
        </w:rPr>
        <w:t xml:space="preserve"> инновационных и высокотехнологичных товаров; </w:t>
      </w:r>
    </w:p>
    <w:p w:rsidR="0020761C" w:rsidRPr="0020761C" w:rsidRDefault="0020761C" w:rsidP="0020761C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20761C">
        <w:rPr>
          <w:sz w:val="28"/>
          <w:szCs w:val="28"/>
        </w:rPr>
        <w:t>инновационно</w:t>
      </w:r>
      <w:proofErr w:type="spellEnd"/>
      <w:proofErr w:type="gramEnd"/>
      <w:r w:rsidRPr="0020761C">
        <w:rPr>
          <w:sz w:val="28"/>
          <w:szCs w:val="28"/>
        </w:rPr>
        <w:t xml:space="preserve">-активным и научным организациям. </w:t>
      </w:r>
    </w:p>
    <w:p w:rsidR="0020761C" w:rsidRDefault="0020761C" w:rsidP="0020761C">
      <w:pPr>
        <w:ind w:firstLine="357"/>
        <w:jc w:val="both"/>
        <w:rPr>
          <w:sz w:val="28"/>
          <w:szCs w:val="28"/>
        </w:rPr>
      </w:pPr>
      <w:r w:rsidRPr="0020761C">
        <w:rPr>
          <w:sz w:val="28"/>
          <w:szCs w:val="28"/>
        </w:rPr>
        <w:t xml:space="preserve">В ходе определения приоритетных направлений развития </w:t>
      </w:r>
      <w:proofErr w:type="spellStart"/>
      <w:r w:rsidRPr="0020761C">
        <w:rPr>
          <w:sz w:val="28"/>
          <w:szCs w:val="28"/>
        </w:rPr>
        <w:t>несырьевого</w:t>
      </w:r>
      <w:proofErr w:type="spellEnd"/>
      <w:r w:rsidRPr="0020761C">
        <w:rPr>
          <w:sz w:val="28"/>
          <w:szCs w:val="28"/>
        </w:rPr>
        <w:t xml:space="preserve">, высокотехнологичного и инновационного экспорта следует учитывать мировые технологические тренды широкого применения мобильного интернета и интернет-маркетинга, автоматизации деятельности в интеллектуальной сфере, облачных технологий хранения информации и работы с большими массивами данных, 3D-печати, робототехники, </w:t>
      </w:r>
      <w:proofErr w:type="spellStart"/>
      <w:r w:rsidRPr="0020761C">
        <w:rPr>
          <w:sz w:val="28"/>
          <w:szCs w:val="28"/>
        </w:rPr>
        <w:t>био</w:t>
      </w:r>
      <w:proofErr w:type="spellEnd"/>
      <w:r w:rsidRPr="0020761C">
        <w:rPr>
          <w:sz w:val="28"/>
          <w:szCs w:val="28"/>
        </w:rPr>
        <w:t xml:space="preserve">- и </w:t>
      </w:r>
      <w:proofErr w:type="spellStart"/>
      <w:r w:rsidRPr="0020761C">
        <w:rPr>
          <w:sz w:val="28"/>
          <w:szCs w:val="28"/>
        </w:rPr>
        <w:t>нанотехнологий</w:t>
      </w:r>
      <w:proofErr w:type="spellEnd"/>
      <w:r w:rsidRPr="0020761C">
        <w:rPr>
          <w:sz w:val="28"/>
          <w:szCs w:val="28"/>
        </w:rPr>
        <w:t>, новых технологий в сфере добычи и переработки нефти и газа, технологий хранения энергии, технологий использования источников возобновляемой энергии.</w:t>
      </w:r>
    </w:p>
    <w:p w:rsidR="00B65A07" w:rsidRPr="00862CE4" w:rsidRDefault="00B65A07" w:rsidP="00B65A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2CE4">
        <w:rPr>
          <w:color w:val="000000"/>
          <w:sz w:val="28"/>
          <w:szCs w:val="28"/>
        </w:rPr>
        <w:lastRenderedPageBreak/>
        <w:t xml:space="preserve">Важное место в гармонизации и упрощении международной торговли принадлежит ЕАЭС, который первоначально </w:t>
      </w:r>
      <w:r>
        <w:rPr>
          <w:color w:val="000000"/>
          <w:sz w:val="28"/>
          <w:szCs w:val="28"/>
        </w:rPr>
        <w:t xml:space="preserve">(с </w:t>
      </w:r>
      <w:r w:rsidRPr="00862CE4">
        <w:rPr>
          <w:color w:val="000000"/>
          <w:sz w:val="28"/>
          <w:szCs w:val="28"/>
        </w:rPr>
        <w:t>январ</w:t>
      </w:r>
      <w:r>
        <w:rPr>
          <w:color w:val="000000"/>
          <w:sz w:val="28"/>
          <w:szCs w:val="28"/>
        </w:rPr>
        <w:t>я</w:t>
      </w:r>
      <w:r w:rsidRPr="00862CE4">
        <w:rPr>
          <w:color w:val="000000"/>
          <w:sz w:val="28"/>
          <w:szCs w:val="28"/>
        </w:rPr>
        <w:t xml:space="preserve"> 2010 года</w:t>
      </w:r>
      <w:r>
        <w:rPr>
          <w:color w:val="000000"/>
          <w:sz w:val="28"/>
          <w:szCs w:val="28"/>
        </w:rPr>
        <w:t>)</w:t>
      </w:r>
      <w:r w:rsidRPr="00862CE4">
        <w:rPr>
          <w:color w:val="000000"/>
          <w:sz w:val="28"/>
          <w:szCs w:val="28"/>
        </w:rPr>
        <w:t xml:space="preserve"> существовал в форме Таможенного союза Республик</w:t>
      </w:r>
      <w:r>
        <w:rPr>
          <w:color w:val="000000"/>
          <w:sz w:val="28"/>
          <w:szCs w:val="28"/>
        </w:rPr>
        <w:t>и</w:t>
      </w:r>
      <w:r w:rsidRPr="00862CE4">
        <w:rPr>
          <w:color w:val="000000"/>
          <w:sz w:val="28"/>
          <w:szCs w:val="28"/>
        </w:rPr>
        <w:t xml:space="preserve"> Беларусь, Республик</w:t>
      </w:r>
      <w:r>
        <w:rPr>
          <w:color w:val="000000"/>
          <w:sz w:val="28"/>
          <w:szCs w:val="28"/>
        </w:rPr>
        <w:t>и</w:t>
      </w:r>
      <w:r w:rsidRPr="00862CE4">
        <w:rPr>
          <w:color w:val="000000"/>
          <w:sz w:val="28"/>
          <w:szCs w:val="28"/>
        </w:rPr>
        <w:t xml:space="preserve"> Казахстан и Российской Федерацией в целях обеспечения свободного перемещения товаров во взаимной торговле и благоприятных условий торговли Таможенного союза с третьими странами. В настоящее время ЕЭК ЕАЭС ведет последовательную работу по дальнейшему упрощению процедур торговли, применяя общепринятые в международной практике методы упрощения, гармонизации, стандартизации автоматизации торговых процедур. В настоящий момент Комиссия работает над созданием Интегрированной информационной системы внешней и взаимной торговли Таможенного союза, которая включит в себя функциональный сегмент „единого </w:t>
      </w:r>
      <w:proofErr w:type="gramStart"/>
      <w:r w:rsidRPr="00862CE4">
        <w:rPr>
          <w:color w:val="000000"/>
          <w:sz w:val="28"/>
          <w:szCs w:val="28"/>
        </w:rPr>
        <w:t>окна“ и</w:t>
      </w:r>
      <w:proofErr w:type="gramEnd"/>
      <w:r w:rsidRPr="00862CE4">
        <w:rPr>
          <w:color w:val="000000"/>
          <w:sz w:val="28"/>
          <w:szCs w:val="28"/>
        </w:rPr>
        <w:t xml:space="preserve"> значительно облегчит торговлю с третьими странами на основе согласованных стандартов обмена торговыми данными.</w:t>
      </w:r>
    </w:p>
    <w:p w:rsidR="0020761C" w:rsidRPr="0020761C" w:rsidRDefault="0020761C" w:rsidP="00B65A07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761C">
        <w:rPr>
          <w:rFonts w:ascii="Times New Roman" w:hAnsi="Times New Roman" w:cs="Times New Roman"/>
          <w:spacing w:val="-6"/>
          <w:sz w:val="28"/>
          <w:szCs w:val="28"/>
        </w:rPr>
        <w:t>Развитие интеграционных процессов Республики Беларусь с другими странами в рамках ЕАЭС осуществляется по следующим направлениям:</w:t>
      </w:r>
    </w:p>
    <w:p w:rsidR="0020761C" w:rsidRPr="0020761C" w:rsidRDefault="0020761C" w:rsidP="00B65A07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761C">
        <w:rPr>
          <w:rFonts w:ascii="Times New Roman" w:hAnsi="Times New Roman" w:cs="Times New Roman"/>
          <w:sz w:val="28"/>
          <w:szCs w:val="28"/>
        </w:rPr>
        <w:t>д</w:t>
      </w:r>
      <w:r w:rsidRPr="0020761C">
        <w:rPr>
          <w:rFonts w:ascii="Times New Roman" w:hAnsi="Times New Roman" w:cs="Times New Roman"/>
          <w:color w:val="000000"/>
          <w:sz w:val="28"/>
          <w:szCs w:val="28"/>
        </w:rPr>
        <w:t>остижение</w:t>
      </w:r>
      <w:proofErr w:type="gramEnd"/>
      <w:r w:rsidRPr="0020761C">
        <w:rPr>
          <w:rFonts w:ascii="Times New Roman" w:hAnsi="Times New Roman" w:cs="Times New Roman"/>
          <w:color w:val="000000"/>
          <w:sz w:val="28"/>
          <w:szCs w:val="28"/>
        </w:rPr>
        <w:t xml:space="preserve"> целей Договора о Евразийском экономическом союзе; </w:t>
      </w:r>
    </w:p>
    <w:p w:rsidR="0020761C" w:rsidRPr="0020761C" w:rsidRDefault="0020761C" w:rsidP="00B65A07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0761C">
        <w:rPr>
          <w:color w:val="000000"/>
          <w:sz w:val="28"/>
          <w:szCs w:val="28"/>
        </w:rPr>
        <w:t>снятие</w:t>
      </w:r>
      <w:proofErr w:type="gramEnd"/>
      <w:r w:rsidRPr="0020761C">
        <w:rPr>
          <w:color w:val="000000"/>
          <w:sz w:val="28"/>
          <w:szCs w:val="28"/>
        </w:rPr>
        <w:t xml:space="preserve"> барьеров, ограничений и изъятий в торговле </w:t>
      </w:r>
      <w:r w:rsidRPr="0020761C">
        <w:rPr>
          <w:color w:val="000000"/>
          <w:sz w:val="28"/>
          <w:szCs w:val="28"/>
        </w:rPr>
        <w:br/>
        <w:t xml:space="preserve">(в первую очередь, в отношении энергоносителей, продукции сборочных производств, либерализации автоперевозок и других чувствительных позиций в рамках ЕАЭС);    </w:t>
      </w:r>
    </w:p>
    <w:p w:rsidR="0020761C" w:rsidRPr="0020761C" w:rsidRDefault="0020761C" w:rsidP="00B65A07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0761C">
        <w:rPr>
          <w:color w:val="000000"/>
          <w:sz w:val="28"/>
          <w:szCs w:val="28"/>
        </w:rPr>
        <w:t>концептуальное</w:t>
      </w:r>
      <w:proofErr w:type="gramEnd"/>
      <w:r w:rsidRPr="0020761C">
        <w:rPr>
          <w:color w:val="000000"/>
          <w:sz w:val="28"/>
          <w:szCs w:val="28"/>
        </w:rPr>
        <w:t xml:space="preserve"> позиционирование Республики Беларусь в качестве «экспортного центра» ЕАЭС;</w:t>
      </w:r>
    </w:p>
    <w:p w:rsidR="0020761C" w:rsidRPr="0020761C" w:rsidRDefault="0020761C" w:rsidP="00B65A07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0761C">
        <w:rPr>
          <w:color w:val="000000"/>
          <w:sz w:val="28"/>
          <w:szCs w:val="28"/>
        </w:rPr>
        <w:t>переход</w:t>
      </w:r>
      <w:proofErr w:type="gramEnd"/>
      <w:r w:rsidRPr="0020761C">
        <w:rPr>
          <w:color w:val="000000"/>
          <w:sz w:val="28"/>
          <w:szCs w:val="28"/>
        </w:rPr>
        <w:t xml:space="preserve"> к согласованной промышленной политике; </w:t>
      </w:r>
    </w:p>
    <w:p w:rsidR="0020761C" w:rsidRPr="0020761C" w:rsidRDefault="0020761C" w:rsidP="00B65A07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0761C">
        <w:rPr>
          <w:color w:val="000000"/>
          <w:sz w:val="28"/>
          <w:szCs w:val="28"/>
        </w:rPr>
        <w:t>создание</w:t>
      </w:r>
      <w:proofErr w:type="gramEnd"/>
      <w:r w:rsidRPr="0020761C">
        <w:rPr>
          <w:color w:val="000000"/>
          <w:sz w:val="28"/>
          <w:szCs w:val="28"/>
        </w:rPr>
        <w:t xml:space="preserve"> равных условия для товаров и услуг стран ЕАЭС при разработке программ </w:t>
      </w:r>
      <w:proofErr w:type="spellStart"/>
      <w:r w:rsidRPr="0020761C">
        <w:rPr>
          <w:color w:val="000000"/>
          <w:sz w:val="28"/>
          <w:szCs w:val="28"/>
        </w:rPr>
        <w:t>импортозамещения</w:t>
      </w:r>
      <w:proofErr w:type="spellEnd"/>
      <w:r w:rsidRPr="0020761C">
        <w:rPr>
          <w:color w:val="000000"/>
          <w:sz w:val="28"/>
          <w:szCs w:val="28"/>
        </w:rPr>
        <w:t xml:space="preserve"> и стимулирования экспорта;  </w:t>
      </w:r>
    </w:p>
    <w:p w:rsidR="0020761C" w:rsidRPr="0020761C" w:rsidRDefault="0020761C" w:rsidP="00B65A07">
      <w:pPr>
        <w:pStyle w:val="a5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0761C">
        <w:rPr>
          <w:color w:val="000000"/>
          <w:sz w:val="28"/>
          <w:szCs w:val="28"/>
        </w:rPr>
        <w:t>совершенствование</w:t>
      </w:r>
      <w:proofErr w:type="gramEnd"/>
      <w:r w:rsidRPr="0020761C">
        <w:rPr>
          <w:color w:val="000000"/>
          <w:sz w:val="28"/>
          <w:szCs w:val="28"/>
        </w:rPr>
        <w:t xml:space="preserve"> инфраструктуры контроля качества, проведения испытаний и оценки соответствия продукции; </w:t>
      </w:r>
    </w:p>
    <w:p w:rsidR="0020761C" w:rsidRPr="0020761C" w:rsidRDefault="0020761C" w:rsidP="00B65A07">
      <w:pPr>
        <w:pStyle w:val="a5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proofErr w:type="gramStart"/>
      <w:r w:rsidRPr="0020761C">
        <w:rPr>
          <w:sz w:val="28"/>
          <w:szCs w:val="28"/>
        </w:rPr>
        <w:t>гармонизация</w:t>
      </w:r>
      <w:proofErr w:type="gramEnd"/>
      <w:r w:rsidRPr="0020761C">
        <w:rPr>
          <w:sz w:val="28"/>
          <w:szCs w:val="28"/>
        </w:rPr>
        <w:t xml:space="preserve"> законодательства в области интеллектуальной собственности.</w:t>
      </w:r>
    </w:p>
    <w:p w:rsidR="00491C48" w:rsidRPr="00491C48" w:rsidRDefault="00491C48" w:rsidP="00491C48">
      <w:pPr>
        <w:tabs>
          <w:tab w:val="left" w:pos="252"/>
        </w:tabs>
        <w:ind w:left="720"/>
        <w:rPr>
          <w:sz w:val="28"/>
          <w:szCs w:val="28"/>
        </w:rPr>
      </w:pPr>
    </w:p>
    <w:p w:rsidR="00491C48" w:rsidRPr="00491C48" w:rsidRDefault="00B65A07" w:rsidP="00491C48">
      <w:pPr>
        <w:numPr>
          <w:ilvl w:val="0"/>
          <w:numId w:val="3"/>
        </w:numPr>
        <w:tabs>
          <w:tab w:val="left" w:pos="252"/>
        </w:tabs>
        <w:rPr>
          <w:b/>
          <w:sz w:val="20"/>
        </w:rPr>
      </w:pPr>
      <w:r>
        <w:rPr>
          <w:b/>
          <w:sz w:val="28"/>
          <w:szCs w:val="28"/>
        </w:rPr>
        <w:t>Внешнеторговый</w:t>
      </w:r>
      <w:r w:rsidR="009A787A">
        <w:rPr>
          <w:b/>
          <w:sz w:val="28"/>
          <w:szCs w:val="28"/>
        </w:rPr>
        <w:t xml:space="preserve"> потенциал Республики Беларусь</w:t>
      </w:r>
    </w:p>
    <w:p w:rsidR="009A787A" w:rsidRPr="009A787A" w:rsidRDefault="009A787A" w:rsidP="009A787A">
      <w:pPr>
        <w:pStyle w:val="a6"/>
        <w:spacing w:before="0" w:beforeAutospacing="0" w:after="0" w:afterAutospacing="0"/>
        <w:ind w:firstLine="369"/>
        <w:jc w:val="both"/>
        <w:rPr>
          <w:sz w:val="28"/>
          <w:szCs w:val="28"/>
        </w:rPr>
      </w:pPr>
      <w:r w:rsidRPr="009A787A">
        <w:rPr>
          <w:sz w:val="28"/>
          <w:szCs w:val="28"/>
        </w:rPr>
        <w:t xml:space="preserve">Программой социально-экономического развития на </w:t>
      </w:r>
      <w:r>
        <w:rPr>
          <w:sz w:val="28"/>
          <w:szCs w:val="28"/>
        </w:rPr>
        <w:t xml:space="preserve">Республики </w:t>
      </w:r>
      <w:proofErr w:type="spellStart"/>
      <w:r>
        <w:rPr>
          <w:sz w:val="28"/>
          <w:szCs w:val="28"/>
        </w:rPr>
        <w:t>беларусь</w:t>
      </w:r>
      <w:proofErr w:type="spellEnd"/>
      <w:r>
        <w:rPr>
          <w:sz w:val="28"/>
          <w:szCs w:val="28"/>
        </w:rPr>
        <w:t xml:space="preserve"> на </w:t>
      </w:r>
      <w:r w:rsidRPr="009A787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A787A">
        <w:rPr>
          <w:sz w:val="28"/>
          <w:szCs w:val="28"/>
        </w:rPr>
        <w:t>–20</w:t>
      </w:r>
      <w:r>
        <w:rPr>
          <w:sz w:val="28"/>
          <w:szCs w:val="28"/>
        </w:rPr>
        <w:t>20</w:t>
      </w:r>
      <w:r w:rsidRPr="009A787A">
        <w:rPr>
          <w:sz w:val="28"/>
          <w:szCs w:val="28"/>
        </w:rPr>
        <w:t xml:space="preserve"> годы, </w:t>
      </w:r>
      <w:r>
        <w:rPr>
          <w:sz w:val="28"/>
          <w:szCs w:val="28"/>
        </w:rPr>
        <w:t>проект которой в настоящее время находится в стадии завершающего обсуждения,</w:t>
      </w:r>
      <w:r w:rsidRPr="009A787A">
        <w:rPr>
          <w:sz w:val="28"/>
          <w:szCs w:val="28"/>
        </w:rPr>
        <w:t xml:space="preserve"> предусмотрены </w:t>
      </w:r>
      <w:r>
        <w:rPr>
          <w:sz w:val="28"/>
          <w:szCs w:val="28"/>
        </w:rPr>
        <w:t xml:space="preserve">следующие </w:t>
      </w:r>
      <w:r w:rsidRPr="009A787A">
        <w:rPr>
          <w:sz w:val="28"/>
          <w:szCs w:val="28"/>
        </w:rPr>
        <w:t>направления развития внешнеторгового потенциала</w:t>
      </w:r>
      <w:r>
        <w:rPr>
          <w:sz w:val="28"/>
          <w:szCs w:val="28"/>
        </w:rPr>
        <w:t xml:space="preserve"> </w:t>
      </w:r>
      <w:r w:rsidRPr="009A787A">
        <w:rPr>
          <w:sz w:val="28"/>
          <w:szCs w:val="28"/>
        </w:rPr>
        <w:t>Б</w:t>
      </w:r>
      <w:r>
        <w:rPr>
          <w:sz w:val="28"/>
          <w:szCs w:val="28"/>
        </w:rPr>
        <w:t>еларуси</w:t>
      </w:r>
      <w:r w:rsidRPr="009A787A">
        <w:rPr>
          <w:sz w:val="28"/>
          <w:szCs w:val="28"/>
        </w:rPr>
        <w:t>: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повышение</w:t>
      </w:r>
      <w:proofErr w:type="gramEnd"/>
      <w:r w:rsidRPr="009A787A">
        <w:rPr>
          <w:sz w:val="28"/>
          <w:szCs w:val="28"/>
        </w:rPr>
        <w:t xml:space="preserve"> эффективности действующих и создание новых экспортно-ориентированных производств, увеличение рентабельности экспорта и объемов поступления валютной выручки;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увеличение</w:t>
      </w:r>
      <w:proofErr w:type="gramEnd"/>
      <w:r w:rsidRPr="009A787A">
        <w:rPr>
          <w:sz w:val="28"/>
          <w:szCs w:val="28"/>
        </w:rPr>
        <w:t xml:space="preserve"> доли услуг в общем объеме экспорта товаров и услуг за счет развития новых видов информационно–коммуникационных, туристских, компьютерных, инжиниринговых, страховых, банковских, финансовых и прочих услуг;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lastRenderedPageBreak/>
        <w:t>увеличение</w:t>
      </w:r>
      <w:proofErr w:type="gramEnd"/>
      <w:r w:rsidRPr="009A787A">
        <w:rPr>
          <w:sz w:val="28"/>
          <w:szCs w:val="28"/>
        </w:rPr>
        <w:t xml:space="preserve"> экспорта высокотехнологичной и наукоемкой продукции с высокой добавленной стоимостью;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развитие</w:t>
      </w:r>
      <w:proofErr w:type="gramEnd"/>
      <w:r w:rsidRPr="009A787A">
        <w:rPr>
          <w:sz w:val="28"/>
          <w:szCs w:val="28"/>
        </w:rPr>
        <w:t xml:space="preserve"> системы кредитования и страхования экспорта, использование иностранных кредитов и механизмов международной помощи для продвижения отечественных товаров и услуг на зарубежные рынки;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привлечение</w:t>
      </w:r>
      <w:proofErr w:type="gramEnd"/>
      <w:r w:rsidRPr="009A787A">
        <w:rPr>
          <w:sz w:val="28"/>
          <w:szCs w:val="28"/>
        </w:rPr>
        <w:t xml:space="preserve"> кредитных ресурсов и прямых иностранных инвестиций в соответствии с потребностями страны в инвестициях;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снижение</w:t>
      </w:r>
      <w:proofErr w:type="gramEnd"/>
      <w:r w:rsidRPr="009A787A">
        <w:rPr>
          <w:sz w:val="28"/>
          <w:szCs w:val="28"/>
        </w:rPr>
        <w:t xml:space="preserve"> </w:t>
      </w:r>
      <w:proofErr w:type="spellStart"/>
      <w:r w:rsidRPr="009A787A">
        <w:rPr>
          <w:sz w:val="28"/>
          <w:szCs w:val="28"/>
        </w:rPr>
        <w:t>импортоемкости</w:t>
      </w:r>
      <w:proofErr w:type="spellEnd"/>
      <w:r w:rsidRPr="009A787A">
        <w:rPr>
          <w:sz w:val="28"/>
          <w:szCs w:val="28"/>
        </w:rPr>
        <w:t xml:space="preserve"> ВВП;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освоение</w:t>
      </w:r>
      <w:proofErr w:type="gramEnd"/>
      <w:r w:rsidRPr="009A787A">
        <w:rPr>
          <w:sz w:val="28"/>
          <w:szCs w:val="28"/>
        </w:rPr>
        <w:t xml:space="preserve"> новых внешних рынков, выход на стратегический уровень отношений с динамично развивающимися странами Азии и Латинской Америки;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создание</w:t>
      </w:r>
      <w:proofErr w:type="gramEnd"/>
      <w:r w:rsidRPr="009A787A">
        <w:rPr>
          <w:sz w:val="28"/>
          <w:szCs w:val="28"/>
        </w:rPr>
        <w:t xml:space="preserve"> предприятий за рубежом в целях снижения транзакционных издержек и увеличения экспортной прибыли;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активизация</w:t>
      </w:r>
      <w:proofErr w:type="gramEnd"/>
      <w:r w:rsidRPr="009A787A">
        <w:rPr>
          <w:sz w:val="28"/>
          <w:szCs w:val="28"/>
        </w:rPr>
        <w:t xml:space="preserve"> участия Республики Беларусь в интеграционных процессах, направленных на укрепление </w:t>
      </w:r>
      <w:proofErr w:type="spellStart"/>
      <w:r w:rsidRPr="009A787A">
        <w:rPr>
          <w:sz w:val="28"/>
          <w:szCs w:val="28"/>
        </w:rPr>
        <w:t>торгово</w:t>
      </w:r>
      <w:proofErr w:type="spellEnd"/>
      <w:r w:rsidRPr="009A787A">
        <w:rPr>
          <w:sz w:val="28"/>
          <w:szCs w:val="28"/>
        </w:rPr>
        <w:t xml:space="preserve">–экономического сотрудничества в рамках СНГ (Союзное государство, </w:t>
      </w:r>
      <w:proofErr w:type="spellStart"/>
      <w:r w:rsidRPr="009A787A">
        <w:rPr>
          <w:sz w:val="28"/>
          <w:szCs w:val="28"/>
        </w:rPr>
        <w:t>ЕврАзЭС</w:t>
      </w:r>
      <w:proofErr w:type="spellEnd"/>
      <w:r w:rsidRPr="009A787A">
        <w:rPr>
          <w:sz w:val="28"/>
          <w:szCs w:val="28"/>
        </w:rPr>
        <w:t>, Таможенный союз, Единое экономическое пространство), а также в рамках Европейского союза (Восточное партнерство);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устранение</w:t>
      </w:r>
      <w:proofErr w:type="gramEnd"/>
      <w:r w:rsidRPr="009A787A">
        <w:rPr>
          <w:sz w:val="28"/>
          <w:szCs w:val="28"/>
        </w:rPr>
        <w:t xml:space="preserve"> барьеров доступа товаров и услуг на внешние рынки и снятие ограничений в торговле с основными странами–партнерами;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упрощение</w:t>
      </w:r>
      <w:proofErr w:type="gramEnd"/>
      <w:r w:rsidRPr="009A787A">
        <w:rPr>
          <w:sz w:val="28"/>
          <w:szCs w:val="28"/>
        </w:rPr>
        <w:t xml:space="preserve"> таможенных процедур и внедрение новых прогрессивных технологий таможенного администрирования;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приближение</w:t>
      </w:r>
      <w:proofErr w:type="gramEnd"/>
      <w:r w:rsidRPr="009A787A">
        <w:rPr>
          <w:sz w:val="28"/>
          <w:szCs w:val="28"/>
        </w:rPr>
        <w:t xml:space="preserve"> нормативных правовых актов к требованиям ВТО, что будет иметь важное значение для привлечения прямых иностранных инвестиций и расширения рынков сбыта;</w:t>
      </w:r>
    </w:p>
    <w:p w:rsidR="009A787A" w:rsidRPr="009A787A" w:rsidRDefault="009A787A" w:rsidP="009A787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9A787A">
        <w:rPr>
          <w:sz w:val="28"/>
          <w:szCs w:val="28"/>
        </w:rPr>
        <w:t>гармонизация</w:t>
      </w:r>
      <w:proofErr w:type="gramEnd"/>
      <w:r w:rsidRPr="009A787A">
        <w:rPr>
          <w:sz w:val="28"/>
          <w:szCs w:val="28"/>
        </w:rPr>
        <w:t xml:space="preserve"> стандартов, сертификации и других нормативных требований к производимой продукции с нормами ЕС/ОЭСР для выхода на новые экспортные рынки.</w:t>
      </w:r>
    </w:p>
    <w:p w:rsidR="005B44CC" w:rsidRPr="008A5AC7" w:rsidRDefault="005B44CC" w:rsidP="005B44CC">
      <w:pPr>
        <w:ind w:firstLine="709"/>
        <w:jc w:val="both"/>
        <w:rPr>
          <w:sz w:val="28"/>
          <w:szCs w:val="28"/>
        </w:rPr>
      </w:pPr>
      <w:r w:rsidRPr="008A5AC7">
        <w:rPr>
          <w:sz w:val="28"/>
          <w:szCs w:val="28"/>
        </w:rPr>
        <w:t xml:space="preserve">Цель программы действий правительства РБ на 2016 год – увеличение экспорта за счет его диверсификации как главного фактора экономического роста. </w:t>
      </w:r>
    </w:p>
    <w:p w:rsidR="005B44CC" w:rsidRPr="008A5AC7" w:rsidRDefault="005B44CC" w:rsidP="005B44CC">
      <w:pPr>
        <w:ind w:firstLine="709"/>
        <w:jc w:val="both"/>
        <w:rPr>
          <w:sz w:val="28"/>
          <w:szCs w:val="28"/>
        </w:rPr>
      </w:pPr>
      <w:r w:rsidRPr="008A5AC7">
        <w:rPr>
          <w:sz w:val="28"/>
          <w:szCs w:val="28"/>
        </w:rPr>
        <w:t xml:space="preserve">Задачами являются: </w:t>
      </w:r>
    </w:p>
    <w:p w:rsidR="005B44CC" w:rsidRPr="008A5AC7" w:rsidRDefault="005B44CC" w:rsidP="005B44CC">
      <w:pPr>
        <w:numPr>
          <w:ilvl w:val="0"/>
          <w:numId w:val="14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переориентация</w:t>
      </w:r>
      <w:proofErr w:type="gramEnd"/>
      <w:r w:rsidRPr="008A5AC7">
        <w:rPr>
          <w:sz w:val="28"/>
          <w:szCs w:val="28"/>
        </w:rPr>
        <w:t xml:space="preserve"> товарных потоков на новые перспективные рынки при сохранении присутствия на традиционных рынках; </w:t>
      </w:r>
    </w:p>
    <w:p w:rsidR="005B44CC" w:rsidRPr="008A5AC7" w:rsidRDefault="005B44CC" w:rsidP="005B44CC">
      <w:pPr>
        <w:numPr>
          <w:ilvl w:val="0"/>
          <w:numId w:val="14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повышение</w:t>
      </w:r>
      <w:proofErr w:type="gramEnd"/>
      <w:r w:rsidRPr="008A5AC7">
        <w:rPr>
          <w:sz w:val="28"/>
          <w:szCs w:val="28"/>
        </w:rPr>
        <w:t xml:space="preserve"> эффективности национальной системы стимулирования и продвижения экспорта, его таможенного администрирования; </w:t>
      </w:r>
    </w:p>
    <w:p w:rsidR="005B44CC" w:rsidRPr="008A5AC7" w:rsidRDefault="005B44CC" w:rsidP="005B44CC">
      <w:pPr>
        <w:numPr>
          <w:ilvl w:val="0"/>
          <w:numId w:val="14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повышение</w:t>
      </w:r>
      <w:proofErr w:type="gramEnd"/>
      <w:r w:rsidRPr="008A5AC7">
        <w:rPr>
          <w:sz w:val="28"/>
          <w:szCs w:val="28"/>
        </w:rPr>
        <w:t xml:space="preserve"> доступности экспортного кредитования и страхования; </w:t>
      </w:r>
    </w:p>
    <w:p w:rsidR="005B44CC" w:rsidRPr="008A5AC7" w:rsidRDefault="005B44CC" w:rsidP="005B44CC">
      <w:pPr>
        <w:numPr>
          <w:ilvl w:val="0"/>
          <w:numId w:val="14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увеличение</w:t>
      </w:r>
      <w:proofErr w:type="gramEnd"/>
      <w:r w:rsidRPr="008A5AC7">
        <w:rPr>
          <w:sz w:val="28"/>
          <w:szCs w:val="28"/>
        </w:rPr>
        <w:t xml:space="preserve"> объемов экспорта услуг, в том числе путем развития новых видов услуг; </w:t>
      </w:r>
    </w:p>
    <w:p w:rsidR="005B44CC" w:rsidRPr="008A5AC7" w:rsidRDefault="005B44CC" w:rsidP="005B44CC">
      <w:pPr>
        <w:numPr>
          <w:ilvl w:val="0"/>
          <w:numId w:val="14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реализация</w:t>
      </w:r>
      <w:proofErr w:type="gramEnd"/>
      <w:r w:rsidRPr="008A5AC7">
        <w:rPr>
          <w:sz w:val="28"/>
          <w:szCs w:val="28"/>
        </w:rPr>
        <w:t xml:space="preserve"> сбалансированной производственной политики на основе увязки объемов производства с экспортными возможностями предприятий и реальной емкостью внутреннего рынка.</w:t>
      </w:r>
    </w:p>
    <w:p w:rsidR="005B44CC" w:rsidRPr="008A5AC7" w:rsidRDefault="005B44CC" w:rsidP="005B44CC">
      <w:pPr>
        <w:ind w:firstLine="426"/>
        <w:jc w:val="both"/>
        <w:rPr>
          <w:sz w:val="28"/>
          <w:szCs w:val="28"/>
        </w:rPr>
      </w:pPr>
      <w:r w:rsidRPr="008A5AC7">
        <w:rPr>
          <w:sz w:val="28"/>
          <w:szCs w:val="28"/>
        </w:rPr>
        <w:t xml:space="preserve">В качестве механизмов реализации поставленных задач предусмотрено: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lastRenderedPageBreak/>
        <w:t>продление</w:t>
      </w:r>
      <w:proofErr w:type="gramEnd"/>
      <w:r w:rsidRPr="008A5AC7">
        <w:rPr>
          <w:sz w:val="28"/>
          <w:szCs w:val="28"/>
        </w:rPr>
        <w:t xml:space="preserve"> на 2016 годы действия Указа Президента Республики Беларусь от 24 сентября 2009 г. № 466 ”О некоторых мерах по реализации товаров, произведенных в Республике Беларусь“ (Национальный реестр правовых актов Республики Беларусь, 2009 г., № 235, 1/10991);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снятие</w:t>
      </w:r>
      <w:proofErr w:type="gramEnd"/>
      <w:r w:rsidRPr="008A5AC7">
        <w:rPr>
          <w:sz w:val="28"/>
          <w:szCs w:val="28"/>
        </w:rPr>
        <w:t xml:space="preserve"> тарифных и нетарифных барьеров во взаимной торговле государств – членов ЕАЭС;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создание</w:t>
      </w:r>
      <w:proofErr w:type="gramEnd"/>
      <w:r w:rsidRPr="008A5AC7">
        <w:rPr>
          <w:sz w:val="28"/>
          <w:szCs w:val="28"/>
        </w:rPr>
        <w:t xml:space="preserve"> Белорусским республиканским унитарным предприятием экспортно-импортного страхования ”</w:t>
      </w:r>
      <w:proofErr w:type="spellStart"/>
      <w:r w:rsidRPr="008A5AC7">
        <w:rPr>
          <w:sz w:val="28"/>
          <w:szCs w:val="28"/>
        </w:rPr>
        <w:t>Белэксимгарант</w:t>
      </w:r>
      <w:proofErr w:type="spellEnd"/>
      <w:r w:rsidRPr="008A5AC7">
        <w:rPr>
          <w:sz w:val="28"/>
          <w:szCs w:val="28"/>
        </w:rPr>
        <w:t xml:space="preserve">“ совместно с экспортными кредитными агентствами государств – членов ЕАЭС (ЭКСАР, </w:t>
      </w:r>
      <w:proofErr w:type="spellStart"/>
      <w:r w:rsidRPr="008A5AC7">
        <w:rPr>
          <w:sz w:val="28"/>
          <w:szCs w:val="28"/>
        </w:rPr>
        <w:t>КазЭкспортГарант</w:t>
      </w:r>
      <w:proofErr w:type="spellEnd"/>
      <w:r w:rsidRPr="008A5AC7">
        <w:rPr>
          <w:sz w:val="28"/>
          <w:szCs w:val="28"/>
        </w:rPr>
        <w:t xml:space="preserve">, ЭСАА) перестраховочного экспортного пула;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соблюдение</w:t>
      </w:r>
      <w:proofErr w:type="gramEnd"/>
      <w:r w:rsidRPr="008A5AC7">
        <w:rPr>
          <w:sz w:val="28"/>
          <w:szCs w:val="28"/>
        </w:rPr>
        <w:t xml:space="preserve"> на макроуровне соотношения между экспортом товаров и объемом промышленного производства на уровне не ниже 65 процентов;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оптимизация</w:t>
      </w:r>
      <w:proofErr w:type="gramEnd"/>
      <w:r w:rsidRPr="008A5AC7">
        <w:rPr>
          <w:sz w:val="28"/>
          <w:szCs w:val="28"/>
        </w:rPr>
        <w:t xml:space="preserve"> функционирования товаропроводящих сетей, в том числе гарантийного и послегарантийного обслуживания продукции;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упрощение</w:t>
      </w:r>
      <w:proofErr w:type="gramEnd"/>
      <w:r w:rsidRPr="008A5AC7">
        <w:rPr>
          <w:sz w:val="28"/>
          <w:szCs w:val="28"/>
        </w:rPr>
        <w:t xml:space="preserve"> таможенного администрирования, в том числе сокращение числа документов, представляемых в таможенный орган, временных и стоимостных издержек при транспортировке грузов;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создание</w:t>
      </w:r>
      <w:proofErr w:type="gramEnd"/>
      <w:r w:rsidRPr="008A5AC7">
        <w:rPr>
          <w:sz w:val="28"/>
          <w:szCs w:val="28"/>
        </w:rPr>
        <w:t xml:space="preserve"> Единого портала внешнеторговой деятельности; 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полномасштабное</w:t>
      </w:r>
      <w:proofErr w:type="gramEnd"/>
      <w:r w:rsidRPr="008A5AC7">
        <w:rPr>
          <w:sz w:val="28"/>
          <w:szCs w:val="28"/>
        </w:rPr>
        <w:t xml:space="preserve"> внедрение электронного документооборота при совершении административных процедур в рамках внешнеторговой деятельности;</w:t>
      </w:r>
    </w:p>
    <w:p w:rsidR="005B44CC" w:rsidRPr="008A5AC7" w:rsidRDefault="005B44CC" w:rsidP="005B44CC">
      <w:pPr>
        <w:numPr>
          <w:ilvl w:val="0"/>
          <w:numId w:val="15"/>
        </w:numPr>
        <w:tabs>
          <w:tab w:val="clear" w:pos="1429"/>
          <w:tab w:val="num" w:pos="-2160"/>
        </w:tabs>
        <w:ind w:left="0" w:firstLine="426"/>
        <w:jc w:val="both"/>
        <w:rPr>
          <w:sz w:val="28"/>
          <w:szCs w:val="28"/>
        </w:rPr>
      </w:pPr>
      <w:proofErr w:type="gramStart"/>
      <w:r w:rsidRPr="008A5AC7">
        <w:rPr>
          <w:sz w:val="28"/>
          <w:szCs w:val="28"/>
        </w:rPr>
        <w:t>принятие</w:t>
      </w:r>
      <w:proofErr w:type="gramEnd"/>
      <w:r w:rsidRPr="008A5AC7">
        <w:rPr>
          <w:sz w:val="28"/>
          <w:szCs w:val="28"/>
        </w:rPr>
        <w:t xml:space="preserve"> Национальной программы поддержки и развития экспорта на 2016 – 2020 годы.</w:t>
      </w:r>
    </w:p>
    <w:p w:rsidR="00491C48" w:rsidRDefault="00491C48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</w:p>
    <w:p w:rsidR="00491C48" w:rsidRDefault="00491C48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</w:p>
    <w:p w:rsidR="00491C48" w:rsidRPr="00C23801" w:rsidRDefault="00491C48" w:rsidP="00C23801">
      <w:pPr>
        <w:pStyle w:val="a3"/>
        <w:tabs>
          <w:tab w:val="left" w:pos="-1985"/>
        </w:tabs>
        <w:ind w:firstLine="709"/>
        <w:jc w:val="both"/>
        <w:rPr>
          <w:szCs w:val="28"/>
        </w:rPr>
      </w:pPr>
    </w:p>
    <w:sectPr w:rsidR="00491C48" w:rsidRPr="00C2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ACD"/>
    <w:multiLevelType w:val="hybridMultilevel"/>
    <w:tmpl w:val="491899B0"/>
    <w:lvl w:ilvl="0" w:tplc="9216D152">
      <w:start w:val="1"/>
      <w:numFmt w:val="bullet"/>
      <w:lvlText w:val=""/>
      <w:lvlJc w:val="left"/>
      <w:pPr>
        <w:ind w:left="957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4444EB"/>
    <w:multiLevelType w:val="hybridMultilevel"/>
    <w:tmpl w:val="78F6F110"/>
    <w:lvl w:ilvl="0" w:tplc="9216D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F20EC"/>
    <w:multiLevelType w:val="hybridMultilevel"/>
    <w:tmpl w:val="532C2D76"/>
    <w:lvl w:ilvl="0" w:tplc="9216D15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1471039"/>
    <w:multiLevelType w:val="hybridMultilevel"/>
    <w:tmpl w:val="4000CD7A"/>
    <w:lvl w:ilvl="0" w:tplc="548277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0BD9"/>
    <w:multiLevelType w:val="hybridMultilevel"/>
    <w:tmpl w:val="84E4A4AA"/>
    <w:lvl w:ilvl="0" w:tplc="D6B0C4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214D5F"/>
    <w:multiLevelType w:val="hybridMultilevel"/>
    <w:tmpl w:val="E766EE96"/>
    <w:lvl w:ilvl="0" w:tplc="0D3E5C5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2CA73431"/>
    <w:multiLevelType w:val="hybridMultilevel"/>
    <w:tmpl w:val="EE748B4C"/>
    <w:lvl w:ilvl="0" w:tplc="D6B0C4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08541F"/>
    <w:multiLevelType w:val="multilevel"/>
    <w:tmpl w:val="D1A8C8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923D0"/>
    <w:multiLevelType w:val="hybridMultilevel"/>
    <w:tmpl w:val="523089BA"/>
    <w:lvl w:ilvl="0" w:tplc="83886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C2495"/>
    <w:multiLevelType w:val="hybridMultilevel"/>
    <w:tmpl w:val="5E3A65AE"/>
    <w:lvl w:ilvl="0" w:tplc="9216D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2C40BA"/>
    <w:multiLevelType w:val="hybridMultilevel"/>
    <w:tmpl w:val="BABA00A0"/>
    <w:lvl w:ilvl="0" w:tplc="9216D1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F843D8B"/>
    <w:multiLevelType w:val="hybridMultilevel"/>
    <w:tmpl w:val="9F6A3A16"/>
    <w:lvl w:ilvl="0" w:tplc="159A0C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DB73D5"/>
    <w:multiLevelType w:val="hybridMultilevel"/>
    <w:tmpl w:val="26EED01A"/>
    <w:lvl w:ilvl="0" w:tplc="9216D1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4F32C4B"/>
    <w:multiLevelType w:val="hybridMultilevel"/>
    <w:tmpl w:val="8026B848"/>
    <w:lvl w:ilvl="0" w:tplc="E91EBD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D17B6"/>
    <w:multiLevelType w:val="hybridMultilevel"/>
    <w:tmpl w:val="C80033CA"/>
    <w:lvl w:ilvl="0" w:tplc="7A6295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D0252"/>
    <w:multiLevelType w:val="hybridMultilevel"/>
    <w:tmpl w:val="5E704F42"/>
    <w:lvl w:ilvl="0" w:tplc="D6B0C4B8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69B34E75"/>
    <w:multiLevelType w:val="hybridMultilevel"/>
    <w:tmpl w:val="6B225842"/>
    <w:lvl w:ilvl="0" w:tplc="9216D1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B432538"/>
    <w:multiLevelType w:val="hybridMultilevel"/>
    <w:tmpl w:val="01F69EAA"/>
    <w:lvl w:ilvl="0" w:tplc="9216D15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B671EF4"/>
    <w:multiLevelType w:val="hybridMultilevel"/>
    <w:tmpl w:val="4AA04DD8"/>
    <w:lvl w:ilvl="0" w:tplc="159A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10"/>
  </w:num>
  <w:num w:numId="10">
    <w:abstractNumId w:val="5"/>
  </w:num>
  <w:num w:numId="11">
    <w:abstractNumId w:val="15"/>
  </w:num>
  <w:num w:numId="12">
    <w:abstractNumId w:val="18"/>
  </w:num>
  <w:num w:numId="13">
    <w:abstractNumId w:val="0"/>
  </w:num>
  <w:num w:numId="14">
    <w:abstractNumId w:val="6"/>
  </w:num>
  <w:num w:numId="15">
    <w:abstractNumId w:val="4"/>
  </w:num>
  <w:num w:numId="16">
    <w:abstractNumId w:val="13"/>
  </w:num>
  <w:num w:numId="17">
    <w:abstractNumId w:val="1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C0"/>
    <w:rsid w:val="00021112"/>
    <w:rsid w:val="0002406C"/>
    <w:rsid w:val="0004738C"/>
    <w:rsid w:val="00047513"/>
    <w:rsid w:val="00054225"/>
    <w:rsid w:val="00071AF1"/>
    <w:rsid w:val="00072A84"/>
    <w:rsid w:val="0008338F"/>
    <w:rsid w:val="000A6427"/>
    <w:rsid w:val="001451B6"/>
    <w:rsid w:val="00181CFF"/>
    <w:rsid w:val="00192F6B"/>
    <w:rsid w:val="001C071B"/>
    <w:rsid w:val="001C1E80"/>
    <w:rsid w:val="001F10EA"/>
    <w:rsid w:val="001F1888"/>
    <w:rsid w:val="001F3BD0"/>
    <w:rsid w:val="0020761C"/>
    <w:rsid w:val="00217FE5"/>
    <w:rsid w:val="00222F59"/>
    <w:rsid w:val="00223CB7"/>
    <w:rsid w:val="002253D1"/>
    <w:rsid w:val="00253613"/>
    <w:rsid w:val="002537B8"/>
    <w:rsid w:val="00255944"/>
    <w:rsid w:val="002706F1"/>
    <w:rsid w:val="0027424C"/>
    <w:rsid w:val="00287959"/>
    <w:rsid w:val="002A58FB"/>
    <w:rsid w:val="002A7CB5"/>
    <w:rsid w:val="002B4CB9"/>
    <w:rsid w:val="002E1B36"/>
    <w:rsid w:val="002E2AB4"/>
    <w:rsid w:val="002F21F2"/>
    <w:rsid w:val="0031559D"/>
    <w:rsid w:val="00323AD4"/>
    <w:rsid w:val="00346241"/>
    <w:rsid w:val="0035711E"/>
    <w:rsid w:val="00360913"/>
    <w:rsid w:val="003639C0"/>
    <w:rsid w:val="003755A5"/>
    <w:rsid w:val="00381F1A"/>
    <w:rsid w:val="0038226D"/>
    <w:rsid w:val="00397047"/>
    <w:rsid w:val="003A016E"/>
    <w:rsid w:val="003B2B9D"/>
    <w:rsid w:val="003E034B"/>
    <w:rsid w:val="003E6F95"/>
    <w:rsid w:val="00417D76"/>
    <w:rsid w:val="00427753"/>
    <w:rsid w:val="00467761"/>
    <w:rsid w:val="00491C48"/>
    <w:rsid w:val="004929C0"/>
    <w:rsid w:val="00493999"/>
    <w:rsid w:val="004A30E2"/>
    <w:rsid w:val="004A63EF"/>
    <w:rsid w:val="004B1433"/>
    <w:rsid w:val="004B2CC0"/>
    <w:rsid w:val="004D76D5"/>
    <w:rsid w:val="004F633C"/>
    <w:rsid w:val="004F6A0D"/>
    <w:rsid w:val="0050270F"/>
    <w:rsid w:val="00510577"/>
    <w:rsid w:val="005450FE"/>
    <w:rsid w:val="00545FAD"/>
    <w:rsid w:val="005744D1"/>
    <w:rsid w:val="00577445"/>
    <w:rsid w:val="005A2895"/>
    <w:rsid w:val="005B44CC"/>
    <w:rsid w:val="005C11E7"/>
    <w:rsid w:val="005C4F2C"/>
    <w:rsid w:val="005E28F4"/>
    <w:rsid w:val="005E2F1B"/>
    <w:rsid w:val="005F2764"/>
    <w:rsid w:val="00612F3C"/>
    <w:rsid w:val="0063350A"/>
    <w:rsid w:val="00646DAE"/>
    <w:rsid w:val="00664A54"/>
    <w:rsid w:val="00693A93"/>
    <w:rsid w:val="00693E00"/>
    <w:rsid w:val="006C1D18"/>
    <w:rsid w:val="006C2764"/>
    <w:rsid w:val="006D2FC3"/>
    <w:rsid w:val="006D37DF"/>
    <w:rsid w:val="00706348"/>
    <w:rsid w:val="007064F0"/>
    <w:rsid w:val="0073354C"/>
    <w:rsid w:val="0073785B"/>
    <w:rsid w:val="0077797C"/>
    <w:rsid w:val="00783B01"/>
    <w:rsid w:val="007B1B3B"/>
    <w:rsid w:val="007D110C"/>
    <w:rsid w:val="007D4381"/>
    <w:rsid w:val="007E592F"/>
    <w:rsid w:val="007F062A"/>
    <w:rsid w:val="007F07A9"/>
    <w:rsid w:val="007F6A61"/>
    <w:rsid w:val="008A36FA"/>
    <w:rsid w:val="008D0759"/>
    <w:rsid w:val="008E06A5"/>
    <w:rsid w:val="008F4E08"/>
    <w:rsid w:val="00903966"/>
    <w:rsid w:val="009201E4"/>
    <w:rsid w:val="0093237C"/>
    <w:rsid w:val="0094667E"/>
    <w:rsid w:val="00950419"/>
    <w:rsid w:val="00956672"/>
    <w:rsid w:val="00986160"/>
    <w:rsid w:val="009A04AF"/>
    <w:rsid w:val="009A787A"/>
    <w:rsid w:val="009B16E2"/>
    <w:rsid w:val="009F37B9"/>
    <w:rsid w:val="00A02B63"/>
    <w:rsid w:val="00A15ECC"/>
    <w:rsid w:val="00A17572"/>
    <w:rsid w:val="00A26073"/>
    <w:rsid w:val="00A35A4A"/>
    <w:rsid w:val="00A85F7F"/>
    <w:rsid w:val="00A9197C"/>
    <w:rsid w:val="00AB01ED"/>
    <w:rsid w:val="00AB43D2"/>
    <w:rsid w:val="00AC411A"/>
    <w:rsid w:val="00AC68BC"/>
    <w:rsid w:val="00AD1192"/>
    <w:rsid w:val="00AD331F"/>
    <w:rsid w:val="00AE49DE"/>
    <w:rsid w:val="00AE5963"/>
    <w:rsid w:val="00B1160D"/>
    <w:rsid w:val="00B14BAB"/>
    <w:rsid w:val="00B27ED1"/>
    <w:rsid w:val="00B3606F"/>
    <w:rsid w:val="00B65A07"/>
    <w:rsid w:val="00B75186"/>
    <w:rsid w:val="00B95B77"/>
    <w:rsid w:val="00C06667"/>
    <w:rsid w:val="00C22C53"/>
    <w:rsid w:val="00C23801"/>
    <w:rsid w:val="00C47704"/>
    <w:rsid w:val="00C725AB"/>
    <w:rsid w:val="00CA1E76"/>
    <w:rsid w:val="00CB4A17"/>
    <w:rsid w:val="00CC2821"/>
    <w:rsid w:val="00CC5AB0"/>
    <w:rsid w:val="00CF0D6D"/>
    <w:rsid w:val="00CF7267"/>
    <w:rsid w:val="00D0021D"/>
    <w:rsid w:val="00D30A08"/>
    <w:rsid w:val="00D75277"/>
    <w:rsid w:val="00D86450"/>
    <w:rsid w:val="00D924C6"/>
    <w:rsid w:val="00DA2BA1"/>
    <w:rsid w:val="00DB44DF"/>
    <w:rsid w:val="00DB4D84"/>
    <w:rsid w:val="00DC224C"/>
    <w:rsid w:val="00DC428F"/>
    <w:rsid w:val="00DF54C8"/>
    <w:rsid w:val="00E14468"/>
    <w:rsid w:val="00E339F0"/>
    <w:rsid w:val="00E549D6"/>
    <w:rsid w:val="00E66DEC"/>
    <w:rsid w:val="00E71085"/>
    <w:rsid w:val="00E91B3E"/>
    <w:rsid w:val="00E93C1A"/>
    <w:rsid w:val="00EA1484"/>
    <w:rsid w:val="00EC101A"/>
    <w:rsid w:val="00EC1787"/>
    <w:rsid w:val="00EE0BDC"/>
    <w:rsid w:val="00EF6872"/>
    <w:rsid w:val="00F0678C"/>
    <w:rsid w:val="00F15420"/>
    <w:rsid w:val="00F71ACB"/>
    <w:rsid w:val="00F745C2"/>
    <w:rsid w:val="00F87260"/>
    <w:rsid w:val="00F87EED"/>
    <w:rsid w:val="00F93B90"/>
    <w:rsid w:val="00FC45A1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0FDE2-7238-472E-8FFE-BE5A7BC3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1C48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801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38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1C4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20761C"/>
    <w:pPr>
      <w:ind w:left="720"/>
      <w:contextualSpacing/>
    </w:pPr>
  </w:style>
  <w:style w:type="paragraph" w:customStyle="1" w:styleId="ConsPlusNormal">
    <w:name w:val="ConsPlusNormal"/>
    <w:rsid w:val="00207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rmal (Web)"/>
    <w:basedOn w:val="a"/>
    <w:uiPriority w:val="99"/>
    <w:rsid w:val="009A787A"/>
    <w:pPr>
      <w:spacing w:before="100" w:beforeAutospacing="1" w:after="100" w:afterAutospacing="1"/>
    </w:pPr>
  </w:style>
  <w:style w:type="character" w:styleId="a7">
    <w:name w:val="Strong"/>
    <w:qFormat/>
    <w:rsid w:val="001F3BD0"/>
    <w:rPr>
      <w:b/>
      <w:bCs/>
    </w:rPr>
  </w:style>
  <w:style w:type="character" w:customStyle="1" w:styleId="apple-converted-space">
    <w:name w:val="apple-converted-space"/>
    <w:basedOn w:val="a0"/>
    <w:rsid w:val="001F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ig.itcilo.org/RUS/instruments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wcoomd.org/en/topics/facilitation/instrument-and-tools/conventions/pf_revised_kyoto_conv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oomd.org/en/topics/facilitation/instrument-and-tools/conventions/pf_revised_kyoto_conv/kyoto_new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wcoomd.org/en/topics/facilitation/instrument-and-tools/conventions/pf_revised_kyoto_conv/instrument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90622-B144-493B-A405-97FEC7360722}"/>
</file>

<file path=customXml/itemProps2.xml><?xml version="1.0" encoding="utf-8"?>
<ds:datastoreItem xmlns:ds="http://schemas.openxmlformats.org/officeDocument/2006/customXml" ds:itemID="{36033FCA-33EC-4033-8850-23B166A86A36}"/>
</file>

<file path=customXml/itemProps3.xml><?xml version="1.0" encoding="utf-8"?>
<ds:datastoreItem xmlns:ds="http://schemas.openxmlformats.org/officeDocument/2006/customXml" ds:itemID="{EC2D16E5-AAE5-4F40-9831-4426655EA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2016-05-27T03:57:00Z</dcterms:created>
  <dcterms:modified xsi:type="dcterms:W3CDTF">2016-05-30T03:23:00Z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